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180"/>
        <w:ind w:left="1980" w:hanging="1980"/>
        <w:rPr>
          <w:rFonts w:hint="default" w:ascii="Arial" w:hAnsi="Arial" w:eastAsia="宋体" w:cs="Arial"/>
          <w:b/>
          <w:sz w:val="24"/>
          <w:szCs w:val="24"/>
          <w:highlight w:val="none"/>
          <w:lang w:val="en-US" w:eastAsia="zh-CN"/>
        </w:rPr>
      </w:pPr>
      <w:r>
        <w:rPr>
          <w:rFonts w:hint="eastAsia" w:ascii="Arial" w:hAnsi="Arial" w:cs="Arial"/>
          <w:b/>
          <w:sz w:val="24"/>
          <w:szCs w:val="24"/>
          <w:highlight w:val="none"/>
        </w:rPr>
        <w:t>3GPP TSG-RAN WG4 Meeting # 108</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rPr>
        <w:t>R4-23</w:t>
      </w:r>
      <w:r>
        <w:rPr>
          <w:rFonts w:hint="eastAsia" w:ascii="Arial" w:hAnsi="Arial" w:cs="Arial"/>
          <w:b/>
          <w:sz w:val="24"/>
          <w:szCs w:val="24"/>
          <w:highlight w:val="none"/>
          <w:lang w:val="en-US" w:eastAsia="zh-CN"/>
        </w:rPr>
        <w:t>12040</w:t>
      </w:r>
    </w:p>
    <w:p>
      <w:pPr>
        <w:tabs>
          <w:tab w:val="left" w:pos="1985"/>
        </w:tabs>
        <w:spacing w:after="180"/>
        <w:ind w:left="1980" w:hanging="1980"/>
        <w:rPr>
          <w:rFonts w:hint="eastAsia" w:ascii="Arial" w:hAnsi="Arial" w:cs="Arial"/>
          <w:b/>
          <w:sz w:val="24"/>
          <w:szCs w:val="24"/>
          <w:highlight w:val="none"/>
        </w:rPr>
      </w:pPr>
      <w:r>
        <w:rPr>
          <w:rFonts w:hint="eastAsia" w:ascii="Arial" w:hAnsi="Arial" w:cs="Arial"/>
          <w:b/>
          <w:sz w:val="24"/>
          <w:szCs w:val="24"/>
          <w:highlight w:val="none"/>
        </w:rPr>
        <w:t>Toulouse, France, August 21 – August 25, 2023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highlight w:val="none"/>
          <w:lang w:val="en-US" w:eastAsia="zh-CN"/>
        </w:rPr>
        <w:t>9.4.3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Discussion on UE RF requirements for the E</w:t>
      </w:r>
      <w:bookmarkStart w:id="7" w:name="_GoBack"/>
      <w:bookmarkEnd w:id="7"/>
      <w:r>
        <w:rPr>
          <w:rFonts w:hint="eastAsia" w:ascii="Arial" w:hAnsi="Arial" w:eastAsia="宋体" w:cs="Arial"/>
          <w:b/>
          <w:sz w:val="24"/>
          <w:szCs w:val="24"/>
          <w:highlight w:val="none"/>
          <w:lang w:val="en-US" w:eastAsia="zh-CN"/>
        </w:rPr>
        <w:t>xtended L-band</w:t>
      </w:r>
      <w:r>
        <w:rPr>
          <w:rFonts w:hint="eastAsia" w:ascii="Arial" w:hAnsi="Arial" w:cs="Arial"/>
          <w:b/>
          <w:sz w:val="24"/>
          <w:szCs w:val="24"/>
          <w:highlight w:val="none"/>
          <w:lang w:val="en-US" w:eastAsia="zh-CN"/>
        </w:rPr>
        <w:t xml:space="preser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7"/>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RAN#99 meeting, the work item [</w:t>
      </w:r>
      <w:r>
        <w:rPr>
          <w:rFonts w:hint="eastAsia" w:ascii="Times New Roman" w:hAnsi="Times New Roman" w:eastAsia="宋体" w:cs="Times New Roman"/>
          <w:sz w:val="20"/>
          <w:szCs w:val="20"/>
          <w:highlight w:val="none"/>
          <w:lang w:val="en-US" w:eastAsia="zh-CN"/>
        </w:rPr>
        <w:t>RP-230790</w:t>
      </w:r>
      <w:r>
        <w:rPr>
          <w:rFonts w:hint="eastAsia" w:cs="Times New Roman"/>
          <w:kern w:val="2"/>
          <w:sz w:val="21"/>
          <w:szCs w:val="22"/>
          <w:highlight w:val="none"/>
          <w:lang w:val="en-US" w:eastAsia="zh-CN" w:bidi="ar-SA"/>
        </w:rPr>
        <w:t>] on introduction of the Extended L-band was approved. Part of the objective is as follows:</w:t>
      </w:r>
    </w:p>
    <w:p>
      <w:pPr>
        <w:pStyle w:val="52"/>
        <w:numPr>
          <w:ilvl w:val="0"/>
          <w:numId w:val="3"/>
        </w:numPr>
        <w:rPr>
          <w:iCs/>
          <w:sz w:val="21"/>
          <w:szCs w:val="21"/>
        </w:rPr>
      </w:pPr>
      <w:r>
        <w:rPr>
          <w:sz w:val="21"/>
          <w:szCs w:val="21"/>
        </w:rPr>
        <w:t xml:space="preserve">Specify a new E-UTRA NTN FDD band, with initial scope for Region 1, with UE transmitting at 1668 – 1675 MHz and SAN transmitting at </w:t>
      </w:r>
      <w:bookmarkStart w:id="1" w:name="OLE_LINK1"/>
      <w:r>
        <w:rPr>
          <w:iCs/>
          <w:sz w:val="21"/>
          <w:szCs w:val="21"/>
        </w:rPr>
        <w:t>1518 – 1525 MHz</w:t>
      </w:r>
      <w:bookmarkEnd w:id="1"/>
    </w:p>
    <w:p>
      <w:pPr>
        <w:pStyle w:val="52"/>
        <w:numPr>
          <w:ilvl w:val="1"/>
          <w:numId w:val="3"/>
        </w:numPr>
        <w:rPr>
          <w:iCs/>
          <w:sz w:val="21"/>
          <w:szCs w:val="21"/>
        </w:rPr>
      </w:pPr>
      <w:r>
        <w:rPr>
          <w:iCs/>
          <w:sz w:val="21"/>
          <w:szCs w:val="21"/>
        </w:rPr>
        <w:t>NOTE: The introduction of this new NTN band through this WID has no impact on existing 3GPP terrestrial band specifications.</w:t>
      </w:r>
    </w:p>
    <w:p>
      <w:pPr>
        <w:pStyle w:val="52"/>
        <w:numPr>
          <w:ilvl w:val="0"/>
          <w:numId w:val="3"/>
        </w:numPr>
        <w:rPr>
          <w:iCs/>
          <w:sz w:val="21"/>
          <w:szCs w:val="21"/>
        </w:rPr>
      </w:pPr>
      <w:r>
        <w:rPr>
          <w:sz w:val="21"/>
          <w:szCs w:val="21"/>
        </w:rPr>
        <w:t>Support UE Categories NB1, NB2, M1;</w:t>
      </w:r>
    </w:p>
    <w:p>
      <w:pPr>
        <w:pStyle w:val="52"/>
        <w:numPr>
          <w:ilvl w:val="0"/>
          <w:numId w:val="3"/>
        </w:numPr>
        <w:rPr>
          <w:iCs/>
          <w:sz w:val="21"/>
          <w:szCs w:val="21"/>
        </w:rPr>
      </w:pPr>
      <w:r>
        <w:rPr>
          <w:sz w:val="21"/>
          <w:szCs w:val="21"/>
        </w:rPr>
        <w:t xml:space="preserve">Support UE Power class 3 (+23dBm) and Power Class 5 (+20dBm); </w:t>
      </w:r>
    </w:p>
    <w:p>
      <w:pPr>
        <w:pStyle w:val="52"/>
        <w:numPr>
          <w:ilvl w:val="0"/>
          <w:numId w:val="3"/>
        </w:numPr>
        <w:rPr>
          <w:iCs/>
          <w:sz w:val="21"/>
          <w:szCs w:val="21"/>
        </w:rPr>
      </w:pPr>
      <w:r>
        <w:rPr>
          <w:sz w:val="21"/>
          <w:szCs w:val="21"/>
        </w:rPr>
        <w:t>Introduce the corresponding SAN and UE RF core requirements;</w:t>
      </w:r>
    </w:p>
    <w:p>
      <w:pPr>
        <w:pStyle w:val="52"/>
        <w:numPr>
          <w:ilvl w:val="0"/>
          <w:numId w:val="3"/>
        </w:numPr>
        <w:rPr>
          <w:iCs/>
          <w:sz w:val="21"/>
          <w:szCs w:val="21"/>
        </w:rPr>
      </w:pPr>
      <w:r>
        <w:rPr>
          <w:sz w:val="21"/>
          <w:szCs w:val="21"/>
        </w:rPr>
        <w:t>Introduce the corresponding RRM requirements.</w:t>
      </w:r>
      <w:r>
        <w:rPr>
          <w:sz w:val="21"/>
          <w:szCs w:val="21"/>
        </w:rPr>
        <w:tab/>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lang w:val="en-US"/>
        </w:rPr>
      </w:pPr>
      <w:r>
        <w:rPr>
          <w:rFonts w:hint="eastAsia"/>
          <w:lang w:val="en-US"/>
        </w:rPr>
        <w:t>In this contribution, we share some views on</w:t>
      </w:r>
      <w:r>
        <w:rPr>
          <w:rFonts w:hint="eastAsia"/>
          <w:lang w:val="en-US" w:eastAsia="zh-CN"/>
        </w:rPr>
        <w:t xml:space="preserve"> UE RF requirement for the Extended L-band</w:t>
      </w:r>
      <w:r>
        <w:rPr>
          <w:rFonts w:hint="eastAsia"/>
          <w:lang w:val="en-US"/>
        </w:rPr>
        <w:t xml:space="preserve">. </w:t>
      </w:r>
    </w:p>
    <w:p>
      <w:pPr>
        <w:pStyle w:val="57"/>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2" w:name="OLE_LINK20"/>
      <w:bookmarkStart w:id="3" w:name="OLE_LINK10"/>
      <w:bookmarkStart w:id="4" w:name="OLE_LINK13"/>
      <w:bookmarkStart w:id="5" w:name="OLE_LINK14"/>
      <w:r>
        <w:rPr>
          <w:rFonts w:hint="eastAsia" w:eastAsia="Times New Roman"/>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lang w:val="en-US" w:eastAsia="zh-CN"/>
        </w:rPr>
      </w:pPr>
      <w:r>
        <w:rPr>
          <w:rFonts w:hint="eastAsia" w:ascii="Arial" w:hAnsi="Arial" w:cs="Arial"/>
          <w:sz w:val="28"/>
          <w:szCs w:val="28"/>
          <w:lang w:val="en-US" w:eastAsia="zh-CN"/>
        </w:rPr>
        <w:t>2.1. Operating bands</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bookmarkStart w:id="6" w:name="OLE_LINK2"/>
      <w:r>
        <w:rPr>
          <w:rFonts w:hint="eastAsia"/>
          <w:b w:val="0"/>
          <w:bCs w:val="0"/>
          <w:i w:val="0"/>
          <w:iCs w:val="0"/>
          <w:lang w:val="en-US" w:eastAsia="zh-CN"/>
        </w:rPr>
        <w:t>Based on the agreement numbered extended L-band and the analysis</w:t>
      </w:r>
      <w:r>
        <w:rPr>
          <w:rFonts w:hint="eastAsia"/>
          <w:b w:val="0"/>
          <w:bCs w:val="0"/>
          <w:i w:val="0"/>
          <w:iCs w:val="0"/>
          <w:highlight w:val="none"/>
          <w:lang w:val="en-US" w:eastAsia="zh-CN"/>
        </w:rPr>
        <w:t xml:space="preserve"> [2],</w:t>
      </w:r>
      <w:r>
        <w:rPr>
          <w:rFonts w:hint="eastAsia"/>
          <w:b w:val="0"/>
          <w:bCs w:val="0"/>
          <w:i w:val="0"/>
          <w:iCs w:val="0"/>
          <w:lang w:val="en-US" w:eastAsia="zh-CN"/>
        </w:rPr>
        <w:t xml:space="preserve"> the extended L-band can be specified as shown in Table 2.1-1.</w:t>
      </w:r>
    </w:p>
    <w:p>
      <w:pPr>
        <w:pStyle w:val="47"/>
      </w:pPr>
      <w:r>
        <w:t xml:space="preserve">Table </w:t>
      </w:r>
      <w:r>
        <w:rPr>
          <w:rFonts w:hint="eastAsia"/>
          <w:lang w:val="en-US" w:eastAsia="zh-CN"/>
        </w:rPr>
        <w:t>2</w:t>
      </w:r>
      <w:r>
        <w:t>.</w:t>
      </w:r>
      <w:r>
        <w:rPr>
          <w:rFonts w:hint="eastAsia"/>
          <w:lang w:val="en-US" w:eastAsia="zh-CN"/>
        </w:rPr>
        <w:t>1</w:t>
      </w:r>
      <w:r>
        <w:t>-1: E-UTRA operating bands for satellite access</w:t>
      </w:r>
    </w:p>
    <w:tbl>
      <w:tblPr>
        <w:tblStyle w:val="25"/>
        <w:tblW w:w="8221" w:type="dxa"/>
        <w:jc w:val="center"/>
        <w:tblLayout w:type="autofit"/>
        <w:tblCellMar>
          <w:top w:w="0" w:type="dxa"/>
          <w:left w:w="108" w:type="dxa"/>
          <w:bottom w:w="0" w:type="dxa"/>
          <w:right w:w="108" w:type="dxa"/>
        </w:tblCellMar>
      </w:tblPr>
      <w:tblGrid>
        <w:gridCol w:w="1508"/>
        <w:gridCol w:w="1227"/>
        <w:gridCol w:w="517"/>
        <w:gridCol w:w="1259"/>
        <w:gridCol w:w="1274"/>
        <w:gridCol w:w="510"/>
        <w:gridCol w:w="1060"/>
        <w:gridCol w:w="86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37"/>
              <w:rPr>
                <w:rFonts w:cs="Arial"/>
              </w:rPr>
            </w:pPr>
            <w:r>
              <w:rPr>
                <w:rFonts w:cs="Arial"/>
              </w:rPr>
              <w:t>E</w:t>
            </w:r>
            <w:r>
              <w:rPr>
                <w:rFonts w:cs="Arial"/>
              </w:rPr>
              <w:noBreakHyphen/>
            </w:r>
            <w:r>
              <w:rPr>
                <w:rFonts w:cs="Arial"/>
              </w:rPr>
              <w:t>UTRA Operating Band</w:t>
            </w:r>
          </w:p>
        </w:tc>
        <w:tc>
          <w:tcPr>
            <w:tcW w:w="3003" w:type="dxa"/>
            <w:gridSpan w:val="3"/>
            <w:tcBorders>
              <w:top w:val="single" w:color="auto" w:sz="4" w:space="0"/>
              <w:left w:val="single" w:color="auto" w:sz="4" w:space="0"/>
              <w:bottom w:val="single" w:color="auto" w:sz="4" w:space="0"/>
              <w:right w:val="single" w:color="auto" w:sz="4" w:space="0"/>
            </w:tcBorders>
            <w:vAlign w:val="center"/>
          </w:tcPr>
          <w:p>
            <w:pPr>
              <w:pStyle w:val="37"/>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844" w:type="dxa"/>
            <w:gridSpan w:val="3"/>
            <w:tcBorders>
              <w:top w:val="single" w:color="auto" w:sz="4" w:space="0"/>
              <w:bottom w:val="single" w:color="auto" w:sz="4" w:space="0"/>
              <w:right w:val="single" w:color="auto" w:sz="4" w:space="0"/>
            </w:tcBorders>
            <w:vAlign w:val="center"/>
          </w:tcPr>
          <w:p>
            <w:pPr>
              <w:pStyle w:val="37"/>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866" w:type="dxa"/>
            <w:vMerge w:val="restart"/>
            <w:tcBorders>
              <w:top w:val="single" w:color="auto" w:sz="4" w:space="0"/>
              <w:left w:val="single" w:color="auto" w:sz="4" w:space="0"/>
              <w:right w:val="single" w:color="auto" w:sz="4" w:space="0"/>
            </w:tcBorders>
          </w:tcPr>
          <w:p>
            <w:pPr>
              <w:pStyle w:val="37"/>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37"/>
              <w:rPr>
                <w:rFonts w:cs="Arial"/>
              </w:rPr>
            </w:pPr>
          </w:p>
        </w:tc>
        <w:tc>
          <w:tcPr>
            <w:tcW w:w="3003" w:type="dxa"/>
            <w:gridSpan w:val="3"/>
            <w:tcBorders>
              <w:top w:val="single" w:color="auto" w:sz="4" w:space="0"/>
              <w:left w:val="single" w:color="auto" w:sz="4" w:space="0"/>
              <w:bottom w:val="single" w:color="auto" w:sz="4" w:space="0"/>
              <w:right w:val="single" w:color="auto" w:sz="4" w:space="0"/>
            </w:tcBorders>
            <w:vAlign w:val="center"/>
          </w:tcPr>
          <w:p>
            <w:pPr>
              <w:pStyle w:val="37"/>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44" w:type="dxa"/>
            <w:gridSpan w:val="3"/>
            <w:tcBorders>
              <w:top w:val="single" w:color="auto" w:sz="4" w:space="0"/>
              <w:bottom w:val="single" w:color="auto" w:sz="4" w:space="0"/>
              <w:right w:val="single" w:color="auto" w:sz="4" w:space="0"/>
            </w:tcBorders>
            <w:vAlign w:val="center"/>
          </w:tcPr>
          <w:p>
            <w:pPr>
              <w:pStyle w:val="37"/>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866" w:type="dxa"/>
            <w:vMerge w:val="continue"/>
            <w:tcBorders>
              <w:left w:val="single" w:color="auto" w:sz="4" w:space="0"/>
              <w:bottom w:val="single" w:color="auto" w:sz="4" w:space="0"/>
              <w:right w:val="single" w:color="auto" w:sz="4" w:space="0"/>
            </w:tcBorders>
          </w:tcPr>
          <w:p>
            <w:pPr>
              <w:pStyle w:val="38"/>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38"/>
              <w:rPr>
                <w:rFonts w:hint="default" w:eastAsia="宋体" w:cs="Arial"/>
                <w:lang w:val="en-US" w:eastAsia="zh-CN"/>
              </w:rPr>
            </w:pPr>
            <w:r>
              <w:rPr>
                <w:rFonts w:hint="eastAsia" w:eastAsia="宋体" w:cs="Arial"/>
                <w:lang w:val="en-US" w:eastAsia="zh-CN"/>
              </w:rPr>
              <w:t>[</w:t>
            </w:r>
            <w:r>
              <w:rPr>
                <w:rFonts w:cs="Arial"/>
              </w:rPr>
              <w:t>25</w:t>
            </w:r>
            <w:r>
              <w:rPr>
                <w:rFonts w:hint="eastAsia" w:eastAsia="宋体" w:cs="Arial"/>
                <w:lang w:val="en-US" w:eastAsia="zh-CN"/>
              </w:rPr>
              <w:t>3]</w:t>
            </w:r>
          </w:p>
        </w:tc>
        <w:tc>
          <w:tcPr>
            <w:tcW w:w="1227" w:type="dxa"/>
            <w:tcBorders>
              <w:top w:val="single" w:color="auto" w:sz="4" w:space="0"/>
              <w:left w:val="single" w:color="auto" w:sz="4" w:space="0"/>
              <w:bottom w:val="single" w:color="auto" w:sz="4" w:space="0"/>
              <w:right w:val="nil"/>
            </w:tcBorders>
          </w:tcPr>
          <w:p>
            <w:pPr>
              <w:pStyle w:val="97"/>
              <w:wordWrap w:val="0"/>
              <w:rPr>
                <w:rFonts w:cs="Arial"/>
                <w:lang w:eastAsia="zh-CN"/>
              </w:rPr>
            </w:pPr>
            <w:r>
              <w:rPr>
                <w:rFonts w:hint="eastAsia" w:cs="Arial"/>
                <w:lang w:val="en-US" w:eastAsia="zh-CN"/>
              </w:rPr>
              <w:t>1668</w:t>
            </w:r>
            <w:r>
              <w:rPr>
                <w:rFonts w:cs="Arial"/>
                <w:lang w:eastAsia="zh-CN"/>
              </w:rPr>
              <w:t xml:space="preserve"> MHz</w:t>
            </w:r>
          </w:p>
        </w:tc>
        <w:tc>
          <w:tcPr>
            <w:tcW w:w="517" w:type="dxa"/>
            <w:tcBorders>
              <w:top w:val="single" w:color="auto" w:sz="4" w:space="0"/>
              <w:left w:val="nil"/>
              <w:bottom w:val="single" w:color="auto" w:sz="4" w:space="0"/>
              <w:right w:val="nil"/>
            </w:tcBorders>
          </w:tcPr>
          <w:p>
            <w:pPr>
              <w:pStyle w:val="38"/>
              <w:rPr>
                <w:rFonts w:cs="Arial"/>
                <w:lang w:eastAsia="zh-CN"/>
              </w:rPr>
            </w:pPr>
            <w:r>
              <w:rPr>
                <w:rFonts w:cs="Arial"/>
                <w:lang w:eastAsia="zh-CN"/>
              </w:rPr>
              <w:t>–</w:t>
            </w:r>
          </w:p>
        </w:tc>
        <w:tc>
          <w:tcPr>
            <w:tcW w:w="1259" w:type="dxa"/>
            <w:tcBorders>
              <w:top w:val="single" w:color="auto" w:sz="4" w:space="0"/>
              <w:left w:val="nil"/>
              <w:bottom w:val="single" w:color="auto" w:sz="4" w:space="0"/>
              <w:right w:val="single" w:color="auto" w:sz="4" w:space="0"/>
            </w:tcBorders>
          </w:tcPr>
          <w:p>
            <w:pPr>
              <w:pStyle w:val="39"/>
              <w:rPr>
                <w:rFonts w:cs="Arial"/>
                <w:lang w:eastAsia="zh-CN"/>
              </w:rPr>
            </w:pPr>
            <w:r>
              <w:rPr>
                <w:rFonts w:hint="eastAsia" w:cs="Arial"/>
                <w:lang w:val="en-US" w:eastAsia="zh-CN"/>
              </w:rPr>
              <w:t>1675</w:t>
            </w:r>
            <w:r>
              <w:rPr>
                <w:rFonts w:cs="Arial"/>
                <w:lang w:eastAsia="zh-CN"/>
              </w:rPr>
              <w:t xml:space="preserve"> MHz</w:t>
            </w:r>
          </w:p>
        </w:tc>
        <w:tc>
          <w:tcPr>
            <w:tcW w:w="1274" w:type="dxa"/>
            <w:tcBorders>
              <w:top w:val="single" w:color="auto" w:sz="4" w:space="0"/>
              <w:left w:val="nil"/>
              <w:bottom w:val="single" w:color="auto" w:sz="4" w:space="0"/>
              <w:right w:val="nil"/>
            </w:tcBorders>
          </w:tcPr>
          <w:p>
            <w:pPr>
              <w:pStyle w:val="97"/>
            </w:pPr>
            <w:r>
              <w:rPr>
                <w:rFonts w:hint="eastAsia"/>
                <w:lang w:val="en-US" w:eastAsia="zh-CN"/>
              </w:rPr>
              <w:t>1518</w:t>
            </w:r>
            <w:r>
              <w:t xml:space="preserve"> MHz</w:t>
            </w:r>
          </w:p>
        </w:tc>
        <w:tc>
          <w:tcPr>
            <w:tcW w:w="510" w:type="dxa"/>
            <w:tcBorders>
              <w:top w:val="single" w:color="auto" w:sz="4" w:space="0"/>
              <w:left w:val="nil"/>
              <w:bottom w:val="single" w:color="auto" w:sz="4" w:space="0"/>
              <w:right w:val="nil"/>
            </w:tcBorders>
          </w:tcPr>
          <w:p>
            <w:pPr>
              <w:pStyle w:val="38"/>
            </w:pPr>
            <w:r>
              <w:t>–</w:t>
            </w:r>
          </w:p>
        </w:tc>
        <w:tc>
          <w:tcPr>
            <w:tcW w:w="1060" w:type="dxa"/>
            <w:tcBorders>
              <w:top w:val="single" w:color="auto" w:sz="4" w:space="0"/>
              <w:left w:val="nil"/>
              <w:bottom w:val="single" w:color="auto" w:sz="4" w:space="0"/>
              <w:right w:val="single" w:color="auto" w:sz="4" w:space="0"/>
            </w:tcBorders>
          </w:tcPr>
          <w:p>
            <w:pPr>
              <w:pStyle w:val="39"/>
            </w:pPr>
            <w:r>
              <w:rPr>
                <w:rFonts w:hint="eastAsia"/>
                <w:lang w:val="en-US" w:eastAsia="zh-CN"/>
              </w:rPr>
              <w:t>1525</w:t>
            </w:r>
            <w:r>
              <w:t xml:space="preserve"> MHz</w:t>
            </w:r>
          </w:p>
        </w:tc>
        <w:tc>
          <w:tcPr>
            <w:tcW w:w="866" w:type="dxa"/>
            <w:tcBorders>
              <w:top w:val="single" w:color="auto" w:sz="4" w:space="0"/>
              <w:left w:val="single" w:color="auto" w:sz="4" w:space="0"/>
              <w:bottom w:val="single" w:color="auto" w:sz="4" w:space="0"/>
              <w:right w:val="single" w:color="auto" w:sz="4" w:space="0"/>
            </w:tcBorders>
          </w:tcPr>
          <w:p>
            <w:pPr>
              <w:pStyle w:val="38"/>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8221" w:type="dxa"/>
            <w:gridSpan w:val="8"/>
            <w:tcBorders>
              <w:top w:val="single" w:color="auto" w:sz="4" w:space="0"/>
              <w:left w:val="single" w:color="auto" w:sz="4" w:space="0"/>
              <w:bottom w:val="single" w:color="auto" w:sz="4" w:space="0"/>
              <w:right w:val="single" w:color="auto" w:sz="4" w:space="0"/>
            </w:tcBorders>
          </w:tcPr>
          <w:p>
            <w:pPr>
              <w:pStyle w:val="50"/>
            </w:pPr>
            <w:r>
              <w:t>NOTE:</w:t>
            </w:r>
            <w:r>
              <w:tab/>
            </w:r>
            <w:r>
              <w:t>Satellite bands are numbered in descending order from 256</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1: </w:t>
      </w:r>
      <w:r>
        <w:rPr>
          <w:rFonts w:hint="eastAsia"/>
          <w:b w:val="0"/>
          <w:bCs w:val="0"/>
          <w:i w:val="0"/>
          <w:iCs w:val="0"/>
          <w:lang w:val="en-US" w:eastAsia="zh-CN"/>
        </w:rPr>
        <w:t>The Extended L-band should be defined as Table 2.1-1.</w:t>
      </w:r>
    </w:p>
    <w:bookmarkEnd w:id="6"/>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Channel raster, carrier frequency and EARFCN</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The granularity of the global frequency raster and the relation between EARFCN and the carrier frequency of band 256/255 can be reused to the Extended L-band. Therefore, the channel raster, carrier frequency and EARFCN can be defined as Table 2.2-1.</w:t>
      </w:r>
    </w:p>
    <w:p>
      <w:pPr>
        <w:pStyle w:val="47"/>
      </w:pPr>
      <w:r>
        <w:rPr>
          <w:rFonts w:hint="eastAsia"/>
          <w:lang w:val="en-US" w:eastAsia="zh-CN"/>
        </w:rPr>
        <w:t>Table 2.2</w:t>
      </w:r>
      <w:r>
        <w:t>-1: E-UTRA channel numbers</w:t>
      </w:r>
    </w:p>
    <w:tbl>
      <w:tblPr>
        <w:tblStyle w:val="25"/>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977"/>
        <w:gridCol w:w="1013"/>
        <w:gridCol w:w="1030"/>
        <w:gridCol w:w="1848"/>
        <w:gridCol w:w="1009"/>
        <w:gridCol w:w="839"/>
        <w:gridCol w:w="1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37"/>
              <w:rPr>
                <w:rFonts w:cs="Arial"/>
              </w:rPr>
            </w:pPr>
            <w:r>
              <w:rPr>
                <w:rFonts w:cs="Arial"/>
              </w:rPr>
              <w:t>E-UTRA Operating</w:t>
            </w:r>
          </w:p>
          <w:p>
            <w:pPr>
              <w:pStyle w:val="37"/>
              <w:rPr>
                <w:rFonts w:cs="Arial"/>
              </w:rPr>
            </w:pPr>
            <w:r>
              <w:rPr>
                <w:rFonts w:cs="Arial"/>
              </w:rPr>
              <w:t>Band</w:t>
            </w:r>
          </w:p>
        </w:tc>
        <w:tc>
          <w:tcPr>
            <w:tcW w:w="977" w:type="dxa"/>
            <w:vMerge w:val="restart"/>
            <w:vAlign w:val="center"/>
          </w:tcPr>
          <w:p>
            <w:pPr>
              <w:pStyle w:val="37"/>
              <w:rPr>
                <w:rFonts w:cs="Arial"/>
              </w:rPr>
            </w:pPr>
            <w:r>
              <w:t>ΔF</w:t>
            </w:r>
            <w:r>
              <w:rPr>
                <w:vertAlign w:val="subscript"/>
              </w:rPr>
              <w:t>Raster</w:t>
            </w:r>
            <w:r>
              <w:t xml:space="preserve"> (kHz)</w:t>
            </w:r>
          </w:p>
        </w:tc>
        <w:tc>
          <w:tcPr>
            <w:tcW w:w="3891" w:type="dxa"/>
            <w:gridSpan w:val="3"/>
          </w:tcPr>
          <w:p>
            <w:pPr>
              <w:pStyle w:val="37"/>
              <w:rPr>
                <w:rFonts w:cs="Arial"/>
              </w:rPr>
            </w:pPr>
            <w:r>
              <w:rPr>
                <w:rFonts w:cs="Arial"/>
              </w:rPr>
              <w:t>Downlink</w:t>
            </w:r>
          </w:p>
        </w:tc>
        <w:tc>
          <w:tcPr>
            <w:tcW w:w="3696" w:type="dxa"/>
            <w:gridSpan w:val="3"/>
          </w:tcPr>
          <w:p>
            <w:pPr>
              <w:pStyle w:val="37"/>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37"/>
              <w:rPr>
                <w:rFonts w:cs="Arial"/>
              </w:rPr>
            </w:pPr>
          </w:p>
        </w:tc>
        <w:tc>
          <w:tcPr>
            <w:tcW w:w="977" w:type="dxa"/>
            <w:vMerge w:val="continue"/>
          </w:tcPr>
          <w:p>
            <w:pPr>
              <w:pStyle w:val="37"/>
              <w:rPr>
                <w:rFonts w:cs="Arial"/>
              </w:rPr>
            </w:pPr>
          </w:p>
        </w:tc>
        <w:tc>
          <w:tcPr>
            <w:tcW w:w="1013" w:type="dxa"/>
          </w:tcPr>
          <w:p>
            <w:pPr>
              <w:pStyle w:val="37"/>
              <w:rPr>
                <w:rFonts w:cs="Arial"/>
              </w:rPr>
            </w:pPr>
            <w:r>
              <w:rPr>
                <w:rFonts w:cs="Arial"/>
              </w:rPr>
              <w:t>F</w:t>
            </w:r>
            <w:r>
              <w:rPr>
                <w:rFonts w:cs="Arial"/>
                <w:vertAlign w:val="subscript"/>
              </w:rPr>
              <w:t xml:space="preserve">DL_low </w:t>
            </w:r>
            <w:r>
              <w:rPr>
                <w:rFonts w:cs="Arial"/>
              </w:rPr>
              <w:t>(MHz)</w:t>
            </w:r>
          </w:p>
        </w:tc>
        <w:tc>
          <w:tcPr>
            <w:tcW w:w="1030" w:type="dxa"/>
          </w:tcPr>
          <w:p>
            <w:pPr>
              <w:pStyle w:val="37"/>
              <w:rPr>
                <w:rFonts w:cs="Arial"/>
              </w:rPr>
            </w:pPr>
            <w:r>
              <w:rPr>
                <w:rFonts w:cs="Arial"/>
              </w:rPr>
              <w:t>N</w:t>
            </w:r>
            <w:r>
              <w:rPr>
                <w:rFonts w:cs="Arial"/>
                <w:vertAlign w:val="subscript"/>
              </w:rPr>
              <w:t>Offs-DL</w:t>
            </w:r>
          </w:p>
        </w:tc>
        <w:tc>
          <w:tcPr>
            <w:tcW w:w="1848" w:type="dxa"/>
          </w:tcPr>
          <w:p>
            <w:pPr>
              <w:pStyle w:val="37"/>
              <w:rPr>
                <w:rFonts w:cs="Arial"/>
                <w:vertAlign w:val="subscript"/>
              </w:rPr>
            </w:pPr>
            <w:r>
              <w:rPr>
                <w:rFonts w:cs="Arial"/>
              </w:rPr>
              <w:t>Range of N</w:t>
            </w:r>
            <w:r>
              <w:rPr>
                <w:rFonts w:cs="Arial"/>
                <w:vertAlign w:val="subscript"/>
              </w:rPr>
              <w:t>DL</w:t>
            </w:r>
          </w:p>
          <w:p>
            <w:pPr>
              <w:pStyle w:val="37"/>
              <w:rPr>
                <w:rFonts w:cs="Arial"/>
              </w:rPr>
            </w:pPr>
            <w:r>
              <w:rPr>
                <w:rFonts w:eastAsia="Yu Mincho"/>
              </w:rPr>
              <w:t>(First – &lt;Step size&gt; – Last)</w:t>
            </w:r>
          </w:p>
        </w:tc>
        <w:tc>
          <w:tcPr>
            <w:tcW w:w="1009" w:type="dxa"/>
          </w:tcPr>
          <w:p>
            <w:pPr>
              <w:pStyle w:val="37"/>
              <w:rPr>
                <w:rFonts w:cs="Arial"/>
              </w:rPr>
            </w:pPr>
            <w:r>
              <w:rPr>
                <w:rFonts w:cs="Arial"/>
              </w:rPr>
              <w:t>F</w:t>
            </w:r>
            <w:r>
              <w:rPr>
                <w:rFonts w:cs="Arial"/>
                <w:vertAlign w:val="subscript"/>
              </w:rPr>
              <w:t xml:space="preserve">UL_low </w:t>
            </w:r>
            <w:r>
              <w:rPr>
                <w:rFonts w:cs="Arial"/>
              </w:rPr>
              <w:t>(MHz)</w:t>
            </w:r>
          </w:p>
        </w:tc>
        <w:tc>
          <w:tcPr>
            <w:tcW w:w="839" w:type="dxa"/>
          </w:tcPr>
          <w:p>
            <w:pPr>
              <w:pStyle w:val="37"/>
              <w:rPr>
                <w:rFonts w:cs="Arial"/>
              </w:rPr>
            </w:pPr>
            <w:r>
              <w:rPr>
                <w:rFonts w:cs="Arial"/>
              </w:rPr>
              <w:t>N</w:t>
            </w:r>
            <w:r>
              <w:rPr>
                <w:rFonts w:cs="Arial"/>
                <w:vertAlign w:val="subscript"/>
              </w:rPr>
              <w:t>Offs-UL</w:t>
            </w:r>
          </w:p>
        </w:tc>
        <w:tc>
          <w:tcPr>
            <w:tcW w:w="1848" w:type="dxa"/>
          </w:tcPr>
          <w:p>
            <w:pPr>
              <w:pStyle w:val="37"/>
              <w:rPr>
                <w:rFonts w:cs="Arial"/>
                <w:vertAlign w:val="subscript"/>
              </w:rPr>
            </w:pPr>
            <w:r>
              <w:rPr>
                <w:rFonts w:cs="Arial"/>
              </w:rPr>
              <w:t>Range of N</w:t>
            </w:r>
            <w:r>
              <w:rPr>
                <w:rFonts w:cs="Arial"/>
                <w:vertAlign w:val="subscript"/>
              </w:rPr>
              <w:t>UL</w:t>
            </w:r>
          </w:p>
          <w:p>
            <w:pPr>
              <w:pStyle w:val="37"/>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38"/>
              <w:rPr>
                <w:rFonts w:hint="default" w:eastAsia="宋体" w:cs="Arial"/>
                <w:szCs w:val="18"/>
                <w:lang w:val="en-US" w:eastAsia="zh-CN"/>
              </w:rPr>
            </w:pPr>
            <w:r>
              <w:rPr>
                <w:rFonts w:hint="eastAsia" w:eastAsia="宋体" w:cs="Arial"/>
                <w:szCs w:val="18"/>
                <w:lang w:val="en-US" w:eastAsia="zh-CN"/>
              </w:rPr>
              <w:t>[253]</w:t>
            </w:r>
          </w:p>
        </w:tc>
        <w:tc>
          <w:tcPr>
            <w:tcW w:w="977" w:type="dxa"/>
            <w:vAlign w:val="top"/>
          </w:tcPr>
          <w:p>
            <w:pPr>
              <w:pStyle w:val="38"/>
              <w:rPr>
                <w:rFonts w:hint="default" w:ascii="Arial" w:hAnsi="Arial" w:eastAsia="宋体" w:cs="Arial"/>
                <w:kern w:val="0"/>
                <w:sz w:val="18"/>
                <w:szCs w:val="18"/>
                <w:lang w:val="en-US" w:eastAsia="zh-CN" w:bidi="ar-SA"/>
              </w:rPr>
            </w:pPr>
            <w:r>
              <w:rPr>
                <w:rFonts w:hint="eastAsia" w:eastAsia="宋体" w:cs="Arial"/>
                <w:szCs w:val="18"/>
                <w:lang w:val="en-US" w:eastAsia="zh-CN"/>
              </w:rPr>
              <w:t>100</w:t>
            </w:r>
          </w:p>
        </w:tc>
        <w:tc>
          <w:tcPr>
            <w:tcW w:w="1013" w:type="dxa"/>
            <w:vAlign w:val="top"/>
          </w:tcPr>
          <w:p>
            <w:pPr>
              <w:pStyle w:val="38"/>
              <w:rPr>
                <w:rFonts w:hint="default" w:ascii="Arial" w:hAnsi="Arial" w:eastAsia="宋体" w:cs="Arial"/>
                <w:kern w:val="0"/>
                <w:sz w:val="18"/>
                <w:szCs w:val="18"/>
                <w:lang w:val="en-US" w:eastAsia="zh-CN" w:bidi="ar-SA"/>
              </w:rPr>
            </w:pPr>
            <w:r>
              <w:rPr>
                <w:rFonts w:hint="eastAsia" w:eastAsia="宋体" w:cs="Arial"/>
                <w:szCs w:val="18"/>
                <w:lang w:val="en-US" w:eastAsia="zh-CN"/>
              </w:rPr>
              <w:t>1518</w:t>
            </w:r>
          </w:p>
        </w:tc>
        <w:tc>
          <w:tcPr>
            <w:tcW w:w="1030" w:type="dxa"/>
            <w:vAlign w:val="top"/>
          </w:tcPr>
          <w:p>
            <w:pPr>
              <w:pStyle w:val="38"/>
              <w:rPr>
                <w:rFonts w:hint="default" w:ascii="Arial" w:hAnsi="Arial" w:eastAsia="宋体" w:cs="Arial"/>
                <w:kern w:val="0"/>
                <w:sz w:val="18"/>
                <w:szCs w:val="20"/>
                <w:lang w:val="en-US" w:eastAsia="zh-CN" w:bidi="ar-SA"/>
              </w:rPr>
            </w:pPr>
            <w:r>
              <w:rPr>
                <w:rFonts w:hint="eastAsia" w:eastAsia="宋体" w:cs="Arial"/>
                <w:lang w:val="en-US" w:eastAsia="zh-CN"/>
              </w:rPr>
              <w:t>228501</w:t>
            </w:r>
          </w:p>
        </w:tc>
        <w:tc>
          <w:tcPr>
            <w:tcW w:w="1848" w:type="dxa"/>
            <w:vAlign w:val="top"/>
          </w:tcPr>
          <w:p>
            <w:pPr>
              <w:pStyle w:val="38"/>
              <w:rPr>
                <w:rFonts w:hint="default" w:ascii="Arial" w:hAnsi="Arial" w:eastAsia="宋体" w:cs="Arial"/>
                <w:kern w:val="0"/>
                <w:sz w:val="18"/>
                <w:szCs w:val="20"/>
                <w:lang w:val="en-US" w:eastAsia="zh-CN" w:bidi="ar-SA"/>
              </w:rPr>
            </w:pPr>
            <w:r>
              <w:rPr>
                <w:rFonts w:hint="eastAsia" w:eastAsia="宋体" w:cs="Arial"/>
                <w:lang w:val="en-US" w:eastAsia="zh-CN"/>
              </w:rPr>
              <w:t>228501-&lt;1&gt;-228570</w:t>
            </w:r>
          </w:p>
        </w:tc>
        <w:tc>
          <w:tcPr>
            <w:tcW w:w="1009" w:type="dxa"/>
            <w:vAlign w:val="top"/>
          </w:tcPr>
          <w:p>
            <w:pPr>
              <w:pStyle w:val="38"/>
              <w:rPr>
                <w:rFonts w:hint="default" w:ascii="Arial" w:hAnsi="Arial" w:eastAsia="宋体" w:cs="Arial"/>
                <w:kern w:val="0"/>
                <w:sz w:val="18"/>
                <w:szCs w:val="18"/>
                <w:lang w:val="en-US" w:eastAsia="zh-CN" w:bidi="ar-SA"/>
              </w:rPr>
            </w:pPr>
            <w:r>
              <w:rPr>
                <w:rFonts w:hint="eastAsia" w:eastAsia="宋体" w:cs="Arial"/>
                <w:szCs w:val="18"/>
                <w:lang w:val="en-US" w:eastAsia="zh-CN"/>
              </w:rPr>
              <w:t>1668</w:t>
            </w:r>
          </w:p>
        </w:tc>
        <w:tc>
          <w:tcPr>
            <w:tcW w:w="839" w:type="dxa"/>
            <w:vAlign w:val="top"/>
          </w:tcPr>
          <w:p>
            <w:pPr>
              <w:pStyle w:val="38"/>
              <w:rPr>
                <w:rFonts w:hint="default" w:ascii="Arial" w:hAnsi="Arial" w:eastAsia="宋体" w:cs="Arial"/>
                <w:kern w:val="0"/>
                <w:sz w:val="18"/>
                <w:szCs w:val="20"/>
                <w:lang w:val="en-US" w:eastAsia="zh-CN" w:bidi="ar-SA"/>
              </w:rPr>
            </w:pPr>
            <w:r>
              <w:rPr>
                <w:rFonts w:hint="eastAsia" w:eastAsia="宋体" w:cs="Arial"/>
                <w:lang w:val="en-US" w:eastAsia="zh-CN"/>
              </w:rPr>
              <w:t>261269</w:t>
            </w:r>
          </w:p>
        </w:tc>
        <w:tc>
          <w:tcPr>
            <w:tcW w:w="1848" w:type="dxa"/>
            <w:vAlign w:val="top"/>
          </w:tcPr>
          <w:p>
            <w:pPr>
              <w:pStyle w:val="38"/>
              <w:rPr>
                <w:rFonts w:hint="default" w:ascii="Arial" w:hAnsi="Arial" w:eastAsia="宋体" w:cs="Times New Roman"/>
                <w:kern w:val="0"/>
                <w:sz w:val="18"/>
                <w:szCs w:val="20"/>
                <w:lang w:val="en-US" w:eastAsia="zh-CN" w:bidi="ar-SA"/>
              </w:rPr>
            </w:pPr>
            <w:r>
              <w:rPr>
                <w:rFonts w:hint="eastAsia" w:eastAsia="宋体"/>
                <w:lang w:val="en-US" w:eastAsia="zh-CN"/>
              </w:rPr>
              <w:t>261269-&lt;1&gt;-261338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50"/>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b/>
          <w:bCs/>
          <w:i w:val="0"/>
          <w:iCs w:val="0"/>
          <w:lang w:val="en-US" w:eastAsia="zh-CN"/>
        </w:rPr>
        <w:t xml:space="preserve">Proposal 2: </w:t>
      </w:r>
      <w:r>
        <w:rPr>
          <w:rFonts w:hint="eastAsia"/>
          <w:lang w:val="en-US" w:eastAsia="zh-CN"/>
        </w:rPr>
        <w:t>For the Extended L-band, the channel raster, carrier frequency and EARFCN can be defined as Table 2.2-1.</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 xml:space="preserve">2.3 </w:t>
      </w:r>
      <w:r>
        <w:rPr>
          <w:rFonts w:hint="default" w:ascii="Arial" w:hAnsi="Arial" w:cs="Arial"/>
          <w:sz w:val="28"/>
          <w:szCs w:val="28"/>
          <w:lang w:val="en-US" w:eastAsia="zh-CN"/>
        </w:rPr>
        <w:t xml:space="preserve">Reference sensitivity </w:t>
      </w:r>
      <w:r>
        <w:rPr>
          <w:rFonts w:hint="eastAsia" w:ascii="Arial" w:hAnsi="Arial" w:cs="Arial"/>
          <w:sz w:val="28"/>
          <w:szCs w:val="28"/>
          <w:lang w:val="en-US" w:eastAsia="zh-CN"/>
        </w:rPr>
        <w:t xml:space="preserve">power </w:t>
      </w:r>
      <w:r>
        <w:rPr>
          <w:rFonts w:hint="default" w:ascii="Arial" w:hAnsi="Arial" w:cs="Arial"/>
          <w:sz w:val="28"/>
          <w:szCs w:val="28"/>
          <w:lang w:val="en-US" w:eastAsia="zh-CN"/>
        </w:rPr>
        <w:t>level</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default"/>
          <w:lang w:val="en-US" w:eastAsia="zh-CN"/>
        </w:rPr>
        <w:t xml:space="preserve">The extended L-band is adjacent to the </w:t>
      </w:r>
      <w:r>
        <w:rPr>
          <w:rFonts w:hint="eastAsia"/>
          <w:lang w:val="en-US" w:eastAsia="zh-CN"/>
        </w:rPr>
        <w:t>DL</w:t>
      </w:r>
      <w:r>
        <w:rPr>
          <w:rFonts w:hint="default"/>
          <w:lang w:val="en-US" w:eastAsia="zh-CN"/>
        </w:rPr>
        <w:t xml:space="preserve"> of NTN band 255 and</w:t>
      </w:r>
      <w:r>
        <w:rPr>
          <w:rFonts w:hint="eastAsia"/>
          <w:lang w:val="en-US" w:eastAsia="zh-CN"/>
        </w:rPr>
        <w:t xml:space="preserve"> the reference sensitivity power level REFSENS of band 255 can be reused to the extended L-band as shown in Table 2.3-1, Table and Table 2.3-2.</w:t>
      </w:r>
    </w:p>
    <w:p>
      <w:pPr>
        <w:pStyle w:val="47"/>
        <w:keepNext/>
        <w:keepLines/>
        <w:pageBreakBefore w:val="0"/>
        <w:widowControl/>
        <w:kinsoku/>
        <w:wordWrap/>
        <w:overflowPunct w:val="0"/>
        <w:topLinePunct w:val="0"/>
        <w:autoSpaceDE w:val="0"/>
        <w:autoSpaceDN w:val="0"/>
        <w:bidi w:val="0"/>
        <w:adjustRightInd w:val="0"/>
        <w:snapToGrid/>
        <w:spacing w:before="180" w:after="60"/>
        <w:textAlignment w:val="baseline"/>
      </w:pPr>
      <w:r>
        <w:t xml:space="preserve">Table </w:t>
      </w:r>
      <w:r>
        <w:rPr>
          <w:rFonts w:hint="eastAsia"/>
          <w:lang w:val="en-US" w:eastAsia="zh-CN"/>
        </w:rPr>
        <w:t>2</w:t>
      </w:r>
      <w:r>
        <w:t>.</w:t>
      </w:r>
      <w:r>
        <w:rPr>
          <w:rFonts w:hint="eastAsia"/>
          <w:lang w:val="en-US" w:eastAsia="zh-CN"/>
        </w:rPr>
        <w:t>3</w:t>
      </w:r>
      <w:r>
        <w:t>-1: Reference sensitivity for FDD UE category M1 QPSK P</w:t>
      </w:r>
      <w:r>
        <w:rPr>
          <w:vertAlign w:val="subscript"/>
        </w:rPr>
        <w:t>REFSENS</w:t>
      </w:r>
    </w:p>
    <w:tbl>
      <w:tblPr>
        <w:tblStyle w:val="25"/>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37"/>
              <w:rPr>
                <w:rFonts w:eastAsia="MS Mincho"/>
              </w:rPr>
            </w:pPr>
            <w:r>
              <w:t>NTN Band</w:t>
            </w:r>
          </w:p>
        </w:tc>
        <w:tc>
          <w:tcPr>
            <w:tcW w:w="3827" w:type="dxa"/>
            <w:shd w:val="clear" w:color="auto" w:fill="auto"/>
            <w:vAlign w:val="center"/>
          </w:tcPr>
          <w:p>
            <w:pPr>
              <w:pStyle w:val="37"/>
              <w:rPr>
                <w:rFonts w:eastAsia="MS Mincho"/>
              </w:rPr>
            </w:pPr>
            <w:r>
              <w:t>REFSENS (dBm)</w:t>
            </w:r>
          </w:p>
        </w:tc>
        <w:tc>
          <w:tcPr>
            <w:tcW w:w="2835" w:type="dxa"/>
            <w:shd w:val="clear" w:color="auto" w:fill="auto"/>
            <w:vAlign w:val="center"/>
          </w:tcPr>
          <w:p>
            <w:pPr>
              <w:pStyle w:val="37"/>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38"/>
              <w:rPr>
                <w:rFonts w:hint="default" w:eastAsia="宋体"/>
                <w:lang w:val="en-US" w:eastAsia="zh-CN"/>
              </w:rPr>
            </w:pPr>
            <w:r>
              <w:rPr>
                <w:rFonts w:hint="eastAsia" w:eastAsia="宋体"/>
                <w:lang w:val="en-US" w:eastAsia="zh-CN"/>
              </w:rPr>
              <w:t>[</w:t>
            </w:r>
            <w:r>
              <w:rPr>
                <w:rFonts w:eastAsia="MS Mincho"/>
              </w:rPr>
              <w:t>25</w:t>
            </w:r>
            <w:r>
              <w:rPr>
                <w:rFonts w:hint="eastAsia" w:eastAsia="宋体"/>
                <w:lang w:val="en-US" w:eastAsia="zh-CN"/>
              </w:rPr>
              <w:t>3]</w:t>
            </w:r>
          </w:p>
        </w:tc>
        <w:tc>
          <w:tcPr>
            <w:tcW w:w="3827" w:type="dxa"/>
            <w:shd w:val="clear" w:color="auto" w:fill="auto"/>
            <w:vAlign w:val="center"/>
          </w:tcPr>
          <w:p>
            <w:pPr>
              <w:pStyle w:val="38"/>
              <w:rPr>
                <w:rFonts w:eastAsia="MS Mincho"/>
              </w:rPr>
            </w:pPr>
            <w:r>
              <w:rPr>
                <w:rFonts w:eastAsia="MS Mincho"/>
              </w:rPr>
              <w:t>-102.7</w:t>
            </w:r>
          </w:p>
        </w:tc>
        <w:tc>
          <w:tcPr>
            <w:tcW w:w="2835" w:type="dxa"/>
            <w:shd w:val="clear" w:color="auto" w:fill="auto"/>
            <w:vAlign w:val="center"/>
          </w:tcPr>
          <w:p>
            <w:pPr>
              <w:pStyle w:val="38"/>
              <w:rPr>
                <w:rFonts w:eastAsia="MS Mincho"/>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50"/>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in TS 36.10</w:t>
            </w:r>
            <w:r>
              <w:rPr>
                <w:rFonts w:hint="eastAsia"/>
                <w:lang w:val="en-US" w:eastAsia="zh-CN"/>
              </w:rPr>
              <w:t>1</w:t>
            </w:r>
            <w:r>
              <w:t>.</w:t>
            </w:r>
          </w:p>
        </w:tc>
      </w:tr>
    </w:tbl>
    <w:p>
      <w:pPr>
        <w:pStyle w:val="47"/>
        <w:keepNext/>
        <w:keepLines/>
        <w:pageBreakBefore w:val="0"/>
        <w:widowControl/>
        <w:kinsoku/>
        <w:wordWrap/>
        <w:overflowPunct w:val="0"/>
        <w:topLinePunct w:val="0"/>
        <w:autoSpaceDE w:val="0"/>
        <w:autoSpaceDN w:val="0"/>
        <w:bidi w:val="0"/>
        <w:adjustRightInd w:val="0"/>
        <w:snapToGrid/>
        <w:spacing w:before="180" w:after="60"/>
        <w:textAlignment w:val="baseline"/>
      </w:pPr>
      <w:r>
        <w:t xml:space="preserve">Table </w:t>
      </w:r>
      <w:r>
        <w:rPr>
          <w:rFonts w:hint="eastAsia"/>
          <w:lang w:val="en-US" w:eastAsia="zh-CN"/>
        </w:rPr>
        <w:t>2.3-2</w:t>
      </w:r>
      <w:r>
        <w:t xml:space="preserve">: Reference sensitivity for </w:t>
      </w:r>
      <w:r>
        <w:rPr>
          <w:rFonts w:hint="eastAsia"/>
        </w:rPr>
        <w:t xml:space="preserve">HD-FDD </w:t>
      </w:r>
      <w:r>
        <w:t>UE category M1 QPSK PREFSENS</w:t>
      </w:r>
    </w:p>
    <w:tbl>
      <w:tblPr>
        <w:tblStyle w:val="25"/>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37"/>
              <w:rPr>
                <w:rFonts w:eastAsia="MS Mincho"/>
              </w:rPr>
            </w:pPr>
            <w:r>
              <w:t>NTN Band</w:t>
            </w:r>
          </w:p>
        </w:tc>
        <w:tc>
          <w:tcPr>
            <w:tcW w:w="3827" w:type="dxa"/>
            <w:shd w:val="clear" w:color="auto" w:fill="auto"/>
            <w:vAlign w:val="center"/>
          </w:tcPr>
          <w:p>
            <w:pPr>
              <w:pStyle w:val="37"/>
              <w:rPr>
                <w:rFonts w:eastAsia="MS Mincho"/>
              </w:rPr>
            </w:pPr>
            <w:r>
              <w:t>REFSENS (dBm)</w:t>
            </w:r>
          </w:p>
        </w:tc>
        <w:tc>
          <w:tcPr>
            <w:tcW w:w="2835" w:type="dxa"/>
            <w:shd w:val="clear" w:color="auto" w:fill="auto"/>
            <w:vAlign w:val="center"/>
          </w:tcPr>
          <w:p>
            <w:pPr>
              <w:pStyle w:val="37"/>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38"/>
              <w:rPr>
                <w:rFonts w:hint="default" w:eastAsia="宋体"/>
                <w:lang w:val="en-US" w:eastAsia="zh-CN"/>
              </w:rPr>
            </w:pPr>
            <w:r>
              <w:rPr>
                <w:rFonts w:hint="eastAsia" w:eastAsia="宋体"/>
                <w:lang w:val="en-US" w:eastAsia="zh-CN"/>
              </w:rPr>
              <w:t>[</w:t>
            </w:r>
            <w:r>
              <w:rPr>
                <w:rFonts w:eastAsia="MS Mincho"/>
              </w:rPr>
              <w:t>25</w:t>
            </w:r>
            <w:r>
              <w:rPr>
                <w:rFonts w:hint="eastAsia" w:eastAsia="宋体"/>
                <w:lang w:val="en-US" w:eastAsia="zh-CN"/>
              </w:rPr>
              <w:t>3]</w:t>
            </w:r>
          </w:p>
        </w:tc>
        <w:tc>
          <w:tcPr>
            <w:tcW w:w="3827" w:type="dxa"/>
            <w:shd w:val="clear" w:color="auto" w:fill="auto"/>
            <w:vAlign w:val="center"/>
          </w:tcPr>
          <w:p>
            <w:pPr>
              <w:pStyle w:val="38"/>
              <w:rPr>
                <w:rFonts w:eastAsia="MS Mincho"/>
              </w:rPr>
            </w:pPr>
            <w:r>
              <w:rPr>
                <w:rFonts w:eastAsia="MS Mincho"/>
              </w:rPr>
              <w:t>-103.5</w:t>
            </w:r>
          </w:p>
        </w:tc>
        <w:tc>
          <w:tcPr>
            <w:tcW w:w="2835" w:type="dxa"/>
            <w:shd w:val="clear" w:color="auto" w:fill="auto"/>
            <w:vAlign w:val="center"/>
          </w:tcPr>
          <w:p>
            <w:pPr>
              <w:pStyle w:val="38"/>
              <w:rPr>
                <w:rFonts w:eastAsia="MS Mincho"/>
              </w:rPr>
            </w:pPr>
            <w:r>
              <w:rPr>
                <w:rFonts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50"/>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xml:space="preserve"> in TS 36.101 [7].</w:t>
            </w:r>
          </w:p>
        </w:tc>
      </w:tr>
    </w:tbl>
    <w:p>
      <w:pPr>
        <w:pStyle w:val="47"/>
        <w:keepNext/>
        <w:keepLines/>
        <w:pageBreakBefore w:val="0"/>
        <w:widowControl/>
        <w:kinsoku/>
        <w:wordWrap/>
        <w:overflowPunct w:val="0"/>
        <w:topLinePunct w:val="0"/>
        <w:autoSpaceDE w:val="0"/>
        <w:autoSpaceDN w:val="0"/>
        <w:bidi w:val="0"/>
        <w:adjustRightInd w:val="0"/>
        <w:snapToGrid/>
        <w:spacing w:before="180" w:after="60"/>
        <w:textAlignment w:val="baseline"/>
      </w:pPr>
      <w:r>
        <w:t xml:space="preserve">Table </w:t>
      </w:r>
      <w:r>
        <w:rPr>
          <w:rFonts w:hint="eastAsia"/>
          <w:lang w:val="en-US" w:eastAsia="zh-CN"/>
        </w:rPr>
        <w:t>2.3-3</w:t>
      </w:r>
      <w:r>
        <w:t>: Reference sensitivity for UE category NB1 and NB2</w:t>
      </w:r>
    </w:p>
    <w:tbl>
      <w:tblPr>
        <w:tblStyle w:val="25"/>
        <w:tblW w:w="5201" w:type="dxa"/>
        <w:jc w:val="center"/>
        <w:tblLayout w:type="autofit"/>
        <w:tblCellMar>
          <w:top w:w="0" w:type="dxa"/>
          <w:left w:w="108" w:type="dxa"/>
          <w:bottom w:w="0" w:type="dxa"/>
          <w:right w:w="108" w:type="dxa"/>
        </w:tblCellMar>
      </w:tblPr>
      <w:tblGrid>
        <w:gridCol w:w="3621"/>
        <w:gridCol w:w="1580"/>
      </w:tblGrid>
      <w:tr>
        <w:tblPrEx>
          <w:tblCellMar>
            <w:top w:w="0" w:type="dxa"/>
            <w:left w:w="108" w:type="dxa"/>
            <w:bottom w:w="0" w:type="dxa"/>
            <w:right w:w="108" w:type="dxa"/>
          </w:tblCellMar>
        </w:tblPrEx>
        <w:trPr>
          <w:trHeight w:val="288" w:hRule="atLeast"/>
          <w:jc w:val="center"/>
        </w:trPr>
        <w:tc>
          <w:tcPr>
            <w:tcW w:w="3621"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37"/>
              <w:rPr>
                <w:rFonts w:cs="Arial"/>
                <w:lang w:val="en-US" w:eastAsia="ja-JP"/>
              </w:rPr>
            </w:pPr>
            <w:r>
              <w:rPr>
                <w:rFonts w:cs="Arial"/>
                <w:lang w:val="en-US" w:eastAsia="ja-JP"/>
              </w:rPr>
              <w:t>Operating band</w:t>
            </w:r>
          </w:p>
        </w:tc>
        <w:tc>
          <w:tcPr>
            <w:tcW w:w="1580" w:type="dxa"/>
            <w:tcBorders>
              <w:top w:val="single" w:color="auto" w:sz="4" w:space="0"/>
              <w:left w:val="nil"/>
              <w:bottom w:val="single" w:color="auto" w:sz="4" w:space="0"/>
              <w:right w:val="single" w:color="auto" w:sz="4" w:space="0"/>
            </w:tcBorders>
            <w:shd w:val="clear" w:color="auto" w:fill="auto"/>
            <w:noWrap/>
            <w:vAlign w:val="center"/>
          </w:tcPr>
          <w:p>
            <w:pPr>
              <w:pStyle w:val="37"/>
              <w:rPr>
                <w:rFonts w:cs="Arial"/>
                <w:lang w:val="en-US" w:eastAsia="ja-JP"/>
              </w:rPr>
            </w:pPr>
            <w:r>
              <w:rPr>
                <w:rFonts w:cs="Arial"/>
                <w:lang w:val="en-US" w:eastAsia="ja-JP"/>
              </w:rPr>
              <w:t>REFSENS [dBm]</w:t>
            </w:r>
          </w:p>
        </w:tc>
      </w:tr>
      <w:tr>
        <w:tblPrEx>
          <w:tblCellMar>
            <w:top w:w="0" w:type="dxa"/>
            <w:left w:w="108" w:type="dxa"/>
            <w:bottom w:w="0" w:type="dxa"/>
            <w:right w:w="108" w:type="dxa"/>
          </w:tblCellMar>
        </w:tblPrEx>
        <w:trPr>
          <w:trHeight w:val="600" w:hRule="atLeast"/>
          <w:jc w:val="center"/>
        </w:trPr>
        <w:tc>
          <w:tcPr>
            <w:tcW w:w="3621" w:type="dxa"/>
            <w:tcBorders>
              <w:top w:val="nil"/>
              <w:left w:val="single" w:color="auto" w:sz="4" w:space="0"/>
              <w:bottom w:val="single" w:color="auto" w:sz="4" w:space="0"/>
              <w:right w:val="single" w:color="auto" w:sz="4" w:space="0"/>
            </w:tcBorders>
            <w:shd w:val="clear" w:color="auto" w:fill="auto"/>
            <w:vAlign w:val="center"/>
          </w:tcPr>
          <w:p>
            <w:pPr>
              <w:pStyle w:val="38"/>
              <w:rPr>
                <w:rFonts w:hint="default" w:eastAsia="宋体" w:cs="Arial"/>
                <w:lang w:val="en-US" w:eastAsia="zh-CN"/>
              </w:rPr>
            </w:pPr>
            <w:r>
              <w:rPr>
                <w:rFonts w:eastAsia="Courier New" w:cs="Arial"/>
                <w:lang w:eastAsia="ja-JP"/>
              </w:rPr>
              <w:t>According to subclause 5.2B</w:t>
            </w:r>
            <w:r>
              <w:rPr>
                <w:rFonts w:hint="eastAsia" w:eastAsia="宋体" w:cs="Arial"/>
                <w:lang w:val="en-US" w:eastAsia="zh-CN"/>
              </w:rPr>
              <w:t xml:space="preserve"> in TS 36.102</w:t>
            </w:r>
          </w:p>
        </w:tc>
        <w:tc>
          <w:tcPr>
            <w:tcW w:w="1580" w:type="dxa"/>
            <w:tcBorders>
              <w:top w:val="nil"/>
              <w:left w:val="nil"/>
              <w:bottom w:val="single" w:color="auto" w:sz="4" w:space="0"/>
              <w:right w:val="single" w:color="auto" w:sz="4" w:space="0"/>
            </w:tcBorders>
            <w:shd w:val="clear" w:color="auto" w:fill="auto"/>
            <w:noWrap/>
            <w:vAlign w:val="center"/>
          </w:tcPr>
          <w:p>
            <w:pPr>
              <w:pStyle w:val="38"/>
              <w:rPr>
                <w:rFonts w:cs="Arial"/>
                <w:lang w:val="en-US" w:eastAsia="ja-JP"/>
              </w:rPr>
            </w:pPr>
            <w:r>
              <w:rPr>
                <w:rFonts w:cs="Arial"/>
                <w:lang w:val="en-US" w:eastAsia="ja-JP"/>
              </w:rPr>
              <w:t>- 108.2</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b/>
          <w:bCs/>
          <w:i w:val="0"/>
          <w:iCs w:val="0"/>
          <w:lang w:val="en-US" w:eastAsia="zh-CN"/>
        </w:rPr>
        <w:t xml:space="preserve">Proposal 3: </w:t>
      </w:r>
      <w:r>
        <w:rPr>
          <w:rFonts w:hint="eastAsia"/>
          <w:b w:val="0"/>
          <w:bCs w:val="0"/>
          <w:i w:val="0"/>
          <w:iCs w:val="0"/>
          <w:lang w:val="en-US" w:eastAsia="zh-CN"/>
        </w:rPr>
        <w:t>For the extended L-band, t</w:t>
      </w:r>
      <w:r>
        <w:rPr>
          <w:rFonts w:hint="eastAsia"/>
          <w:lang w:val="en-US" w:eastAsia="zh-CN"/>
        </w:rPr>
        <w:t>he reference sensitivity level for eMTC NTN can be defined as Table 2.3-1 and Table 2.3-2 and the reference sensitivity level for NB-IoT can be defined as Table 2.3-3.</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2.4 Receiver blocking requirement</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lang w:val="en-US" w:eastAsia="zh-CN"/>
        </w:rPr>
        <w:t>The receiver blocking requirement should be specified based on the conclusion of ECC report 263 [3].</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r>
              <w:t xml:space="preserve">Based on the final results of its compatibility studies, it is concluded that: </w:t>
            </w:r>
          </w:p>
          <w:p>
            <w:pPr>
              <w:pStyle w:val="101"/>
              <w:rPr>
                <w:rFonts w:hint="eastAsia"/>
                <w:vertAlign w:val="baseline"/>
                <w:lang w:val="en-US" w:eastAsia="zh-CN"/>
              </w:rPr>
            </w:pPr>
            <w:r>
              <w:rPr>
                <w:color w:val="auto"/>
              </w:rPr>
              <w:t xml:space="preserve">the minimum in-band blocking characteristic for land mobile earth stations receivers from a 5 MHz broadband signal interferer (LTE) operating below 1518 MHz shall be </w:t>
            </w:r>
            <w:r>
              <w:rPr>
                <w:rFonts w:cs="Arial"/>
                <w:color w:val="auto"/>
              </w:rPr>
              <w:t>−</w:t>
            </w:r>
            <w:r>
              <w:rPr>
                <w:color w:val="auto"/>
              </w:rPr>
              <w:t>30dBm above 1520 MHz,</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b/>
          <w:bCs/>
          <w:i w:val="0"/>
          <w:iCs w:val="0"/>
          <w:lang w:val="en-US" w:eastAsia="zh-CN"/>
        </w:rPr>
        <w:t>Proposal 4:</w:t>
      </w:r>
      <w:r>
        <w:rPr>
          <w:rFonts w:hint="eastAsia"/>
          <w:lang w:val="en-US" w:eastAsia="zh-CN"/>
        </w:rPr>
        <w:t xml:space="preserve"> For the extended L-band, </w:t>
      </w:r>
      <w:r>
        <w:rPr>
          <w:rFonts w:hint="eastAsia"/>
          <w:b w:val="0"/>
          <w:bCs w:val="0"/>
          <w:i w:val="0"/>
          <w:iCs w:val="0"/>
          <w:lang w:val="en-US" w:eastAsia="zh-CN"/>
        </w:rPr>
        <w:t>t</w:t>
      </w:r>
      <w:r>
        <w:rPr>
          <w:rFonts w:hint="eastAsia"/>
          <w:lang w:val="en-US" w:eastAsia="zh-CN"/>
        </w:rPr>
        <w:t xml:space="preserve">he receiver blocking requirement should be specified based on the conclusion of ECC report 263. </w:t>
      </w:r>
    </w:p>
    <w:bookmarkEnd w:id="2"/>
    <w:bookmarkEnd w:id="3"/>
    <w:bookmarkEnd w:id="4"/>
    <w:bookmarkEnd w:id="5"/>
    <w:p>
      <w:pPr>
        <w:pStyle w:val="57"/>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rPr>
        <w:t xml:space="preserve">on </w:t>
      </w:r>
      <w:r>
        <w:rPr>
          <w:rFonts w:hint="eastAsia"/>
          <w:lang w:val="en-US" w:eastAsia="zh-CN"/>
        </w:rPr>
        <w:t>UE</w:t>
      </w:r>
      <w:r>
        <w:rPr>
          <w:rFonts w:hint="eastAsia"/>
          <w:lang w:val="en-US"/>
        </w:rPr>
        <w:t xml:space="preserve"> RF requirements for Introduction of the satellite L-/S-band</w:t>
      </w:r>
      <w:r>
        <w:rPr>
          <w:rFonts w:hint="eastAsia" w:eastAsia="宋体"/>
          <w:lang w:val="en-US" w:eastAsia="zh-CN"/>
        </w:rPr>
        <w:t>.</w:t>
      </w:r>
      <w:r>
        <w:rPr>
          <w:rFonts w:hint="eastAsia" w:cs="Times New Roman"/>
          <w:kern w:val="2"/>
          <w:sz w:val="21"/>
          <w:szCs w:val="22"/>
          <w:highlight w:val="none"/>
          <w:lang w:val="en-US" w:eastAsia="zh-CN" w:bidi="ar-SA"/>
        </w:rPr>
        <w:t xml:space="preserve"> Some proposals are made as following</w:t>
      </w:r>
      <w:r>
        <w:rPr>
          <w:rFonts w:hint="eastAsia"/>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1: </w:t>
      </w:r>
      <w:r>
        <w:rPr>
          <w:rFonts w:hint="eastAsia"/>
          <w:b w:val="0"/>
          <w:bCs w:val="0"/>
          <w:i w:val="0"/>
          <w:iCs w:val="0"/>
          <w:lang w:val="en-US" w:eastAsia="zh-CN"/>
        </w:rPr>
        <w:t>The Extended L-band should be defined as Table 2.1-1.</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b/>
          <w:bCs/>
          <w:i w:val="0"/>
          <w:iCs w:val="0"/>
          <w:lang w:val="en-US" w:eastAsia="zh-CN"/>
        </w:rPr>
        <w:t xml:space="preserve">Proposal 2: </w:t>
      </w:r>
      <w:r>
        <w:rPr>
          <w:rFonts w:hint="eastAsia"/>
          <w:lang w:val="en-US" w:eastAsia="zh-CN"/>
        </w:rPr>
        <w:t>For the Extended L-band, the channel raster, carrier frequency and EARFCN can be defined as Table 2.2-1.</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b/>
          <w:bCs/>
          <w:i w:val="0"/>
          <w:iCs w:val="0"/>
          <w:lang w:val="en-US" w:eastAsia="zh-CN"/>
        </w:rPr>
        <w:t xml:space="preserve">Proposal 3: </w:t>
      </w:r>
      <w:r>
        <w:rPr>
          <w:rFonts w:hint="eastAsia"/>
          <w:b w:val="0"/>
          <w:bCs w:val="0"/>
          <w:i w:val="0"/>
          <w:iCs w:val="0"/>
          <w:lang w:val="en-US" w:eastAsia="zh-CN"/>
        </w:rPr>
        <w:t>For the extended L-band, t</w:t>
      </w:r>
      <w:r>
        <w:rPr>
          <w:rFonts w:hint="eastAsia"/>
          <w:lang w:val="en-US" w:eastAsia="zh-CN"/>
        </w:rPr>
        <w:t>he reference sensitivity level for eMTC NTN can be defined as Table 2.3-1 and Table 2.3-2 and the reference sensitivity level for NB-IoT can be defined as Table 2.3-3.</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b/>
          <w:bCs/>
          <w:i w:val="0"/>
          <w:iCs w:val="0"/>
          <w:lang w:val="en-US" w:eastAsia="zh-CN"/>
        </w:rPr>
        <w:t>Proposal 4:</w:t>
      </w:r>
      <w:r>
        <w:rPr>
          <w:rFonts w:hint="eastAsia"/>
          <w:lang w:val="en-US" w:eastAsia="zh-CN"/>
        </w:rPr>
        <w:t xml:space="preserve"> For the extended L-band, </w:t>
      </w:r>
      <w:r>
        <w:rPr>
          <w:rFonts w:hint="eastAsia"/>
          <w:b w:val="0"/>
          <w:bCs w:val="0"/>
          <w:i w:val="0"/>
          <w:iCs w:val="0"/>
          <w:lang w:val="en-US" w:eastAsia="zh-CN"/>
        </w:rPr>
        <w:t>t</w:t>
      </w:r>
      <w:r>
        <w:rPr>
          <w:rFonts w:hint="eastAsia"/>
          <w:lang w:val="en-US" w:eastAsia="zh-CN"/>
        </w:rPr>
        <w:t xml:space="preserve">he receiver blocking requirement should be specified based on the conclusion of ECC report 263. </w:t>
      </w:r>
    </w:p>
    <w:p>
      <w:pPr>
        <w:pStyle w:val="57"/>
        <w:tabs>
          <w:tab w:val="left" w:pos="567"/>
          <w:tab w:val="clear" w:pos="1985"/>
        </w:tabs>
        <w:adjustRightInd w:val="0"/>
        <w:ind w:left="510" w:hanging="510"/>
        <w:rPr>
          <w:highlight w:val="none"/>
        </w:rPr>
      </w:pPr>
      <w:r>
        <w:rPr>
          <w:highlight w:val="none"/>
        </w:rPr>
        <w:t>References</w:t>
      </w:r>
    </w:p>
    <w:p>
      <w:pPr>
        <w:pStyle w:val="55"/>
        <w:numPr>
          <w:ilvl w:val="0"/>
          <w:numId w:val="4"/>
        </w:numPr>
      </w:pPr>
      <w:r>
        <w:rPr>
          <w:rFonts w:hint="eastAsia" w:ascii="Times New Roman" w:hAnsi="Times New Roman" w:eastAsia="宋体" w:cs="Times New Roman"/>
          <w:sz w:val="20"/>
          <w:szCs w:val="20"/>
          <w:highlight w:val="none"/>
          <w:lang w:val="en-US" w:eastAsia="zh-CN"/>
        </w:rPr>
        <w:t>RP-23079</w:t>
      </w:r>
      <w:r>
        <w:rPr>
          <w:rFonts w:hint="eastAsia" w:cs="Times New Roman"/>
          <w:sz w:val="20"/>
          <w:szCs w:val="20"/>
          <w:highlight w:val="none"/>
          <w:lang w:val="en-US" w:eastAsia="zh-CN"/>
        </w:rPr>
        <w:t xml:space="preserve">0, </w:t>
      </w:r>
      <w:r>
        <w:rPr>
          <w:rFonts w:hint="default"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New WID on Introduction of the Extended L-band (UL 1668-1675, DL 1518-1525) for IoT NTN”, Inmarsat</w:t>
      </w:r>
    </w:p>
    <w:p>
      <w:pPr>
        <w:pStyle w:val="55"/>
        <w:numPr>
          <w:ilvl w:val="0"/>
          <w:numId w:val="4"/>
        </w:numPr>
      </w:pPr>
      <w:r>
        <w:rPr>
          <w:rFonts w:hint="eastAsia"/>
          <w:highlight w:val="none"/>
          <w:lang w:val="en-US" w:eastAsia="zh-CN"/>
        </w:rPr>
        <w:t xml:space="preserve">R4-2312039, </w:t>
      </w:r>
      <w:r>
        <w:rPr>
          <w:rFonts w:hint="default" w:cs="Times New Roman"/>
          <w:sz w:val="20"/>
          <w:szCs w:val="20"/>
          <w:highlight w:val="none"/>
          <w:lang w:val="en-US" w:eastAsia="zh-CN"/>
        </w:rPr>
        <w:t>“</w:t>
      </w:r>
      <w:r>
        <w:rPr>
          <w:rFonts w:hint="eastAsia"/>
          <w:lang w:val="en-US" w:eastAsia="zh-CN"/>
        </w:rPr>
        <w:t>Band definition and system parameters for Extended L-band</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 xml:space="preserve"> ZTE</w:t>
      </w:r>
    </w:p>
    <w:p>
      <w:pPr>
        <w:pStyle w:val="55"/>
        <w:numPr>
          <w:ilvl w:val="0"/>
          <w:numId w:val="4"/>
        </w:numPr>
      </w:pPr>
      <w:r>
        <w:rPr>
          <w:lang w:val="en-US" w:eastAsia="zh-CN"/>
        </w:rPr>
        <w:t xml:space="preserve">ECC Report 263, “Adjacent band compatibility studies between IMT operating in the frequency band 1492-1518 MHz and the MSS operating in the frequency band 1518-1552 MHz,” Approved 03 March 2017.  </w:t>
      </w:r>
    </w:p>
    <w:p>
      <w:pPr>
        <w:pStyle w:val="55"/>
        <w:numPr>
          <w:ilvl w:val="0"/>
          <w:numId w:val="4"/>
        </w:numPr>
      </w:pPr>
      <w:r>
        <w:rPr>
          <w:rFonts w:hint="eastAsia"/>
          <w:lang w:val="en-US" w:eastAsia="zh-CN"/>
        </w:rPr>
        <w:t xml:space="preserve">3GPPP TR 38.863: </w:t>
      </w:r>
      <w:r>
        <w:rPr>
          <w:rFonts w:hint="default" w:cs="Times New Roman"/>
          <w:sz w:val="20"/>
          <w:szCs w:val="20"/>
          <w:highlight w:val="none"/>
          <w:lang w:val="en-US" w:eastAsia="zh-CN"/>
        </w:rPr>
        <w:t>“</w:t>
      </w:r>
      <w:r>
        <w:rPr>
          <w:rFonts w:hint="eastAsia"/>
        </w:rPr>
        <w:t>Non-terrestrial networks (NTN) related RF and co-existence aspects</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w:t>
      </w: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Yu Mincho">
    <w:altName w:val="MS PMincho"/>
    <w:panose1 w:val="02020400000000000000"/>
    <w:charset w:val="80"/>
    <w:family w:val="roman"/>
    <w:pitch w:val="default"/>
    <w:sig w:usb0="00000000" w:usb1="00000000" w:usb2="00000012" w:usb3="00000000" w:csb0="0002009F" w:csb1="00000000"/>
  </w:font>
  <w:font w:name="MS PMincho">
    <w:panose1 w:val="020206000402050803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FEB4A7C"/>
    <w:multiLevelType w:val="multilevel"/>
    <w:tmpl w:val="0FEB4A7C"/>
    <w:lvl w:ilvl="0" w:tentative="0">
      <w:start w:val="1"/>
      <w:numFmt w:val="bullet"/>
      <w:pStyle w:val="102"/>
      <w:lvlText w:val=""/>
      <w:lvlJc w:val="left"/>
      <w:pPr>
        <w:ind w:left="360" w:hanging="360"/>
      </w:pPr>
      <w:rPr>
        <w:rFonts w:hint="default" w:ascii="Wingdings" w:hAnsi="Wingdings"/>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ACA5D94"/>
    <w:multiLevelType w:val="multilevel"/>
    <w:tmpl w:val="1ACA5D94"/>
    <w:lvl w:ilvl="0" w:tentative="0">
      <w:start w:val="0"/>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3">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05E20"/>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E608D7"/>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CC2223"/>
    <w:rsid w:val="04D66461"/>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038EC"/>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2049"/>
    <w:rsid w:val="07277193"/>
    <w:rsid w:val="072B7E46"/>
    <w:rsid w:val="072F2139"/>
    <w:rsid w:val="07350A48"/>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CF27B4"/>
    <w:rsid w:val="07D835FB"/>
    <w:rsid w:val="07DD018B"/>
    <w:rsid w:val="07E014BE"/>
    <w:rsid w:val="07E04AA8"/>
    <w:rsid w:val="07E85751"/>
    <w:rsid w:val="07ED5339"/>
    <w:rsid w:val="07F70AC8"/>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52822"/>
    <w:rsid w:val="096913F9"/>
    <w:rsid w:val="096B649C"/>
    <w:rsid w:val="096F18AA"/>
    <w:rsid w:val="096F1D52"/>
    <w:rsid w:val="09713F26"/>
    <w:rsid w:val="09791D3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EE4213"/>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22168"/>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A4C65"/>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80161"/>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E73C8"/>
    <w:rsid w:val="0D3F4797"/>
    <w:rsid w:val="0D432A3E"/>
    <w:rsid w:val="0D480AA9"/>
    <w:rsid w:val="0D5800C7"/>
    <w:rsid w:val="0D5B6E86"/>
    <w:rsid w:val="0D604B9B"/>
    <w:rsid w:val="0D63712E"/>
    <w:rsid w:val="0D6A353C"/>
    <w:rsid w:val="0D813BDF"/>
    <w:rsid w:val="0D826C81"/>
    <w:rsid w:val="0D904522"/>
    <w:rsid w:val="0D976014"/>
    <w:rsid w:val="0D9D7A3A"/>
    <w:rsid w:val="0DA060E8"/>
    <w:rsid w:val="0DA21DEB"/>
    <w:rsid w:val="0DA57AAE"/>
    <w:rsid w:val="0DAD467B"/>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7C6F8E"/>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B50817"/>
    <w:rsid w:val="11B66269"/>
    <w:rsid w:val="11B95CC7"/>
    <w:rsid w:val="11B95F1C"/>
    <w:rsid w:val="11BA0839"/>
    <w:rsid w:val="11CA3974"/>
    <w:rsid w:val="11D66A42"/>
    <w:rsid w:val="11E4369D"/>
    <w:rsid w:val="11E814F7"/>
    <w:rsid w:val="11EE4F27"/>
    <w:rsid w:val="11F267E8"/>
    <w:rsid w:val="11F427FC"/>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ED5080"/>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B32825"/>
    <w:rsid w:val="17BA48D6"/>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945C9"/>
    <w:rsid w:val="183E4121"/>
    <w:rsid w:val="18420253"/>
    <w:rsid w:val="18421B7F"/>
    <w:rsid w:val="18457138"/>
    <w:rsid w:val="18533B98"/>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3B9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A5CBC"/>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34626E"/>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17FC"/>
    <w:rsid w:val="1D9B69B7"/>
    <w:rsid w:val="1D9C5DA0"/>
    <w:rsid w:val="1D9C7126"/>
    <w:rsid w:val="1D9F462B"/>
    <w:rsid w:val="1DA05157"/>
    <w:rsid w:val="1DA265B5"/>
    <w:rsid w:val="1DB26ED0"/>
    <w:rsid w:val="1DB835A9"/>
    <w:rsid w:val="1DBC2261"/>
    <w:rsid w:val="1DC254A8"/>
    <w:rsid w:val="1DC603E1"/>
    <w:rsid w:val="1DDA2DA2"/>
    <w:rsid w:val="1DEC45ED"/>
    <w:rsid w:val="1DF2745E"/>
    <w:rsid w:val="1E093D7D"/>
    <w:rsid w:val="1E1D7E95"/>
    <w:rsid w:val="1E201A27"/>
    <w:rsid w:val="1E224747"/>
    <w:rsid w:val="1E231B0F"/>
    <w:rsid w:val="1E287E58"/>
    <w:rsid w:val="1E304B88"/>
    <w:rsid w:val="1E3E02E7"/>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8421E"/>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853F4"/>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94E84"/>
    <w:rsid w:val="278A6416"/>
    <w:rsid w:val="27907336"/>
    <w:rsid w:val="279408D2"/>
    <w:rsid w:val="279A2ED3"/>
    <w:rsid w:val="279D17AF"/>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06483"/>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37603"/>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E70523"/>
    <w:rsid w:val="2AF12CDF"/>
    <w:rsid w:val="2AF27DCB"/>
    <w:rsid w:val="2AF86D0B"/>
    <w:rsid w:val="2AF92B4F"/>
    <w:rsid w:val="2B0726A6"/>
    <w:rsid w:val="2B0C6B23"/>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8759DF"/>
    <w:rsid w:val="2B8A4F1A"/>
    <w:rsid w:val="2B8B34AB"/>
    <w:rsid w:val="2B914C5E"/>
    <w:rsid w:val="2BA252E6"/>
    <w:rsid w:val="2BA43A43"/>
    <w:rsid w:val="2BA53554"/>
    <w:rsid w:val="2BB44220"/>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256C0"/>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7B2532"/>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5F2394"/>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A96C80"/>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9C3444"/>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B6F1A"/>
    <w:rsid w:val="353C4905"/>
    <w:rsid w:val="353C75ED"/>
    <w:rsid w:val="353E791E"/>
    <w:rsid w:val="354008AB"/>
    <w:rsid w:val="354966A2"/>
    <w:rsid w:val="354C7B38"/>
    <w:rsid w:val="354F28B8"/>
    <w:rsid w:val="35535CBB"/>
    <w:rsid w:val="35562F9E"/>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CE7064"/>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B5E13"/>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3507D"/>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517AE"/>
    <w:rsid w:val="3A4B68EC"/>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E596A"/>
    <w:rsid w:val="3AF372E4"/>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1601B"/>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95C06"/>
    <w:rsid w:val="3D0B7E6F"/>
    <w:rsid w:val="3D0D32BA"/>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F0572F1"/>
    <w:rsid w:val="3F144192"/>
    <w:rsid w:val="3F180191"/>
    <w:rsid w:val="3F1871AF"/>
    <w:rsid w:val="3F217DDA"/>
    <w:rsid w:val="3F2B184D"/>
    <w:rsid w:val="3F2C7646"/>
    <w:rsid w:val="3F2F01F0"/>
    <w:rsid w:val="3F3C6744"/>
    <w:rsid w:val="3F421D47"/>
    <w:rsid w:val="3F441B08"/>
    <w:rsid w:val="3F4A4087"/>
    <w:rsid w:val="3F5361F5"/>
    <w:rsid w:val="3F556D23"/>
    <w:rsid w:val="3F5B09D7"/>
    <w:rsid w:val="3F5D051B"/>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E210C1"/>
    <w:rsid w:val="3FEB1C22"/>
    <w:rsid w:val="3FEE2117"/>
    <w:rsid w:val="3FFA58A6"/>
    <w:rsid w:val="3FFA5C63"/>
    <w:rsid w:val="40073561"/>
    <w:rsid w:val="400A1CFC"/>
    <w:rsid w:val="4014369D"/>
    <w:rsid w:val="40153B39"/>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0623D3"/>
    <w:rsid w:val="41074BCF"/>
    <w:rsid w:val="412506DF"/>
    <w:rsid w:val="413B1BAB"/>
    <w:rsid w:val="413B3C9A"/>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4392B"/>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47575"/>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1B7736"/>
    <w:rsid w:val="4425456D"/>
    <w:rsid w:val="44336EAB"/>
    <w:rsid w:val="44393BD3"/>
    <w:rsid w:val="443E43CB"/>
    <w:rsid w:val="444014DC"/>
    <w:rsid w:val="444109FB"/>
    <w:rsid w:val="44416F50"/>
    <w:rsid w:val="444E22EA"/>
    <w:rsid w:val="444F5CF0"/>
    <w:rsid w:val="44584267"/>
    <w:rsid w:val="44613B53"/>
    <w:rsid w:val="44624B7F"/>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3099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60D3781"/>
    <w:rsid w:val="46143BB4"/>
    <w:rsid w:val="46225519"/>
    <w:rsid w:val="46346A8F"/>
    <w:rsid w:val="46365246"/>
    <w:rsid w:val="463A2D38"/>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35F37"/>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A3415"/>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E1BC5"/>
    <w:rsid w:val="50AF1C59"/>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847C1"/>
    <w:rsid w:val="52790FD9"/>
    <w:rsid w:val="52850AB6"/>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50E6C32"/>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7344"/>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80ED4"/>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94BFF"/>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6607B"/>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B0D36"/>
    <w:rsid w:val="5AF82FCA"/>
    <w:rsid w:val="5AF8657A"/>
    <w:rsid w:val="5AF92076"/>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41F8A"/>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4F043B"/>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54A5D"/>
    <w:rsid w:val="5E783202"/>
    <w:rsid w:val="5E7842EE"/>
    <w:rsid w:val="5E7A4974"/>
    <w:rsid w:val="5E803D55"/>
    <w:rsid w:val="5E854DAE"/>
    <w:rsid w:val="5E9259E2"/>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6EED"/>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35DF"/>
    <w:rsid w:val="5FA5501A"/>
    <w:rsid w:val="5FAB674F"/>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D0EF1"/>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B5DC0"/>
    <w:rsid w:val="645D3A6B"/>
    <w:rsid w:val="6468643C"/>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3428F"/>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65227"/>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206E21"/>
    <w:rsid w:val="6C25194D"/>
    <w:rsid w:val="6C263A06"/>
    <w:rsid w:val="6C337BE8"/>
    <w:rsid w:val="6C386C47"/>
    <w:rsid w:val="6C3A624E"/>
    <w:rsid w:val="6C3F4795"/>
    <w:rsid w:val="6C431738"/>
    <w:rsid w:val="6C442E2D"/>
    <w:rsid w:val="6C45539A"/>
    <w:rsid w:val="6C4B106D"/>
    <w:rsid w:val="6C505966"/>
    <w:rsid w:val="6C5D04BB"/>
    <w:rsid w:val="6C666C3C"/>
    <w:rsid w:val="6C6833E1"/>
    <w:rsid w:val="6C756009"/>
    <w:rsid w:val="6C7B5CBF"/>
    <w:rsid w:val="6C831974"/>
    <w:rsid w:val="6C882F2E"/>
    <w:rsid w:val="6C8E4315"/>
    <w:rsid w:val="6C95615F"/>
    <w:rsid w:val="6CA94419"/>
    <w:rsid w:val="6CB242A2"/>
    <w:rsid w:val="6CC818AD"/>
    <w:rsid w:val="6CD944B7"/>
    <w:rsid w:val="6CE0612A"/>
    <w:rsid w:val="6CE269D3"/>
    <w:rsid w:val="6CEC448A"/>
    <w:rsid w:val="6CED284E"/>
    <w:rsid w:val="6CED3DB2"/>
    <w:rsid w:val="6CEF4D2C"/>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4E5A3F"/>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E0EC4"/>
    <w:rsid w:val="6E561494"/>
    <w:rsid w:val="6E567CD0"/>
    <w:rsid w:val="6E633CB5"/>
    <w:rsid w:val="6E651C83"/>
    <w:rsid w:val="6E7106EF"/>
    <w:rsid w:val="6E72570E"/>
    <w:rsid w:val="6E785A45"/>
    <w:rsid w:val="6E796FC0"/>
    <w:rsid w:val="6E8F6FAF"/>
    <w:rsid w:val="6E917497"/>
    <w:rsid w:val="6E950607"/>
    <w:rsid w:val="6EA13305"/>
    <w:rsid w:val="6EAB29FB"/>
    <w:rsid w:val="6EB04D45"/>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7E4794"/>
    <w:rsid w:val="6F9C5D71"/>
    <w:rsid w:val="6FA3781E"/>
    <w:rsid w:val="6FA9586A"/>
    <w:rsid w:val="6FAC61CF"/>
    <w:rsid w:val="6FAF5C06"/>
    <w:rsid w:val="6FB32C37"/>
    <w:rsid w:val="6FB415FB"/>
    <w:rsid w:val="6FB80EE8"/>
    <w:rsid w:val="6FC0781E"/>
    <w:rsid w:val="6FD36624"/>
    <w:rsid w:val="6FD41952"/>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4B11CB"/>
    <w:rsid w:val="70555B90"/>
    <w:rsid w:val="70680AC8"/>
    <w:rsid w:val="70684400"/>
    <w:rsid w:val="706D51B8"/>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C00E9"/>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E7DFE"/>
    <w:rsid w:val="7235246C"/>
    <w:rsid w:val="723749D7"/>
    <w:rsid w:val="724D4B1D"/>
    <w:rsid w:val="724E54F1"/>
    <w:rsid w:val="724F28A3"/>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B509B"/>
    <w:rsid w:val="74FB6035"/>
    <w:rsid w:val="7502618E"/>
    <w:rsid w:val="750934A8"/>
    <w:rsid w:val="750A15E4"/>
    <w:rsid w:val="750C76FA"/>
    <w:rsid w:val="751C6D8A"/>
    <w:rsid w:val="752B3381"/>
    <w:rsid w:val="75325694"/>
    <w:rsid w:val="75376E15"/>
    <w:rsid w:val="753B454F"/>
    <w:rsid w:val="75441B17"/>
    <w:rsid w:val="75457EFF"/>
    <w:rsid w:val="7554481F"/>
    <w:rsid w:val="75594581"/>
    <w:rsid w:val="755A5494"/>
    <w:rsid w:val="75625A16"/>
    <w:rsid w:val="7564200E"/>
    <w:rsid w:val="75663FD1"/>
    <w:rsid w:val="75732185"/>
    <w:rsid w:val="757540E3"/>
    <w:rsid w:val="75912385"/>
    <w:rsid w:val="759739B3"/>
    <w:rsid w:val="759B02AD"/>
    <w:rsid w:val="759B0C43"/>
    <w:rsid w:val="759B5CAF"/>
    <w:rsid w:val="759F1A50"/>
    <w:rsid w:val="75A53BC6"/>
    <w:rsid w:val="75AA180C"/>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87F65"/>
    <w:rsid w:val="77284F7D"/>
    <w:rsid w:val="7729766A"/>
    <w:rsid w:val="772D35A6"/>
    <w:rsid w:val="772D3786"/>
    <w:rsid w:val="773A62B8"/>
    <w:rsid w:val="773E64A6"/>
    <w:rsid w:val="77422DC5"/>
    <w:rsid w:val="7743723B"/>
    <w:rsid w:val="77490C6C"/>
    <w:rsid w:val="774B3934"/>
    <w:rsid w:val="774D47BD"/>
    <w:rsid w:val="775352E9"/>
    <w:rsid w:val="77551F00"/>
    <w:rsid w:val="77606FF1"/>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255AC"/>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DC7644"/>
    <w:rsid w:val="7CE146B6"/>
    <w:rsid w:val="7CE65C11"/>
    <w:rsid w:val="7CE70935"/>
    <w:rsid w:val="7CF84A31"/>
    <w:rsid w:val="7CFC44C2"/>
    <w:rsid w:val="7D000BCC"/>
    <w:rsid w:val="7D013B39"/>
    <w:rsid w:val="7D060FAD"/>
    <w:rsid w:val="7D0826CA"/>
    <w:rsid w:val="7D0B0144"/>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after="160"/>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8"/>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footnote text"/>
    <w:basedOn w:val="1"/>
    <w:qFormat/>
    <w:uiPriority w:val="0"/>
    <w:pPr>
      <w:widowControl w:val="0"/>
      <w:tabs>
        <w:tab w:val="left" w:pos="284"/>
      </w:tabs>
      <w:spacing w:before="60" w:after="0"/>
      <w:ind w:left="284" w:hanging="284"/>
    </w:pPr>
    <w:rPr>
      <w:sz w:val="16"/>
      <w:szCs w:val="16"/>
      <w:lang w:val="en-US"/>
      <w14:cntxtalts/>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rFonts w:ascii="Calibri" w:hAnsi="Calibri" w:eastAsia="宋体" w:cs="Calibri"/>
      <w:bCs/>
      <w:sz w:val="24"/>
    </w:rPr>
  </w:style>
  <w:style w:type="character" w:styleId="29">
    <w:name w:val="Emphasis"/>
    <w:qFormat/>
    <w:uiPriority w:val="20"/>
    <w:rPr>
      <w:color w:val="CC0000"/>
    </w:rPr>
  </w:style>
  <w:style w:type="character" w:styleId="30">
    <w:name w:val="Hyperlink"/>
    <w:qFormat/>
    <w:uiPriority w:val="0"/>
    <w:rPr>
      <w:color w:val="0000FF"/>
      <w:u w:val="single"/>
    </w:rPr>
  </w:style>
  <w:style w:type="character" w:styleId="31">
    <w:name w:val="annotation reference"/>
    <w:unhideWhenUsed/>
    <w:qFormat/>
    <w:uiPriority w:val="99"/>
    <w:rPr>
      <w:sz w:val="16"/>
      <w:szCs w:val="16"/>
    </w:rPr>
  </w:style>
  <w:style w:type="character" w:styleId="32">
    <w:name w:val="HTML Cite"/>
    <w:unhideWhenUsed/>
    <w:qFormat/>
    <w:uiPriority w:val="99"/>
    <w:rPr>
      <w:color w:val="008000"/>
    </w:rPr>
  </w:style>
  <w:style w:type="character" w:styleId="33">
    <w:name w:val="footnote reference"/>
    <w:basedOn w:val="27"/>
    <w:qFormat/>
    <w:uiPriority w:val="0"/>
    <w:rPr>
      <w:rFonts w:ascii="Arial" w:hAnsi="Arial"/>
      <w:sz w:val="20"/>
      <w:vertAlign w:val="superscript"/>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39"/>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Heading 6 Char"/>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Heading 8 Char"/>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Heading 9 Char"/>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Caption Char"/>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Heading 4 Char"/>
    <w:link w:val="5"/>
    <w:qFormat/>
    <w:uiPriority w:val="0"/>
    <w:rPr>
      <w:rFonts w:ascii="Arial" w:hAnsi="Arial" w:eastAsia="宋体"/>
      <w:sz w:val="24"/>
      <w:lang w:val="en-GB" w:eastAsia="en-US"/>
    </w:rPr>
  </w:style>
  <w:style w:type="character" w:customStyle="1" w:styleId="79">
    <w:name w:val="Balloon Text Char"/>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Header Char"/>
    <w:link w:val="18"/>
    <w:qFormat/>
    <w:uiPriority w:val="99"/>
    <w:rPr>
      <w:sz w:val="18"/>
      <w:szCs w:val="18"/>
    </w:rPr>
  </w:style>
  <w:style w:type="character" w:customStyle="1" w:styleId="82">
    <w:name w:val="Document Map Char"/>
    <w:link w:val="13"/>
    <w:semiHidden/>
    <w:qFormat/>
    <w:uiPriority w:val="99"/>
    <w:rPr>
      <w:rFonts w:ascii="宋体" w:eastAsia="宋体"/>
      <w:sz w:val="18"/>
      <w:szCs w:val="18"/>
    </w:rPr>
  </w:style>
  <w:style w:type="character" w:customStyle="1" w:styleId="83">
    <w:name w:val="Heading 7 Char"/>
    <w:link w:val="9"/>
    <w:qFormat/>
    <w:uiPriority w:val="0"/>
    <w:rPr>
      <w:rFonts w:ascii="Arial" w:hAnsi="Arial" w:eastAsia="宋体"/>
      <w:lang w:val="en-GB" w:eastAsia="en-US"/>
    </w:rPr>
  </w:style>
  <w:style w:type="character" w:customStyle="1" w:styleId="84">
    <w:name w:val="Heading 1 Char"/>
    <w:link w:val="2"/>
    <w:qFormat/>
    <w:uiPriority w:val="9"/>
    <w:rPr>
      <w:rFonts w:ascii="Cambria" w:hAnsi="Cambria" w:eastAsia="宋体" w:cs="Times New Roman"/>
      <w:b/>
      <w:bCs/>
      <w:kern w:val="32"/>
      <w:sz w:val="32"/>
      <w:szCs w:val="32"/>
      <w:lang w:val="en-US"/>
    </w:rPr>
  </w:style>
  <w:style w:type="character" w:customStyle="1" w:styleId="85">
    <w:name w:val="Footer Char"/>
    <w:link w:val="17"/>
    <w:qFormat/>
    <w:uiPriority w:val="99"/>
    <w:rPr>
      <w:sz w:val="18"/>
      <w:szCs w:val="18"/>
    </w:rPr>
  </w:style>
  <w:style w:type="character" w:customStyle="1" w:styleId="86">
    <w:name w:val="Comment Subject Char"/>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Heading 2 Char"/>
    <w:link w:val="3"/>
    <w:qFormat/>
    <w:uiPriority w:val="0"/>
    <w:rPr>
      <w:rFonts w:ascii="Arial" w:hAnsi="Arial"/>
      <w:sz w:val="32"/>
      <w:lang w:eastAsia="en-US"/>
    </w:rPr>
  </w:style>
  <w:style w:type="character" w:customStyle="1" w:styleId="89">
    <w:name w:val="Heading 5 Char"/>
    <w:link w:val="6"/>
    <w:qFormat/>
    <w:uiPriority w:val="0"/>
    <w:rPr>
      <w:rFonts w:ascii="Arial" w:hAnsi="Arial" w:eastAsia="宋体"/>
      <w:sz w:val="22"/>
      <w:lang w:val="en-GB" w:eastAsia="en-US"/>
    </w:rPr>
  </w:style>
  <w:style w:type="character" w:customStyle="1" w:styleId="90">
    <w:name w:val="Heading 3 Char"/>
    <w:link w:val="4"/>
    <w:qFormat/>
    <w:uiPriority w:val="0"/>
    <w:rPr>
      <w:rFonts w:ascii="Arial" w:hAnsi="Arial"/>
      <w:sz w:val="28"/>
      <w:lang w:eastAsia="en-US"/>
    </w:rPr>
  </w:style>
  <w:style w:type="character" w:customStyle="1" w:styleId="91">
    <w:name w:val="Comment Text Char"/>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pPr>
    <w:rPr>
      <w:rFonts w:ascii="Arial" w:hAnsi="Arial" w:eastAsia="Times New Roman" w:cs="Times New Roman"/>
      <w:lang w:val="en-GB" w:eastAsia="en-US" w:bidi="ar-SA"/>
    </w:rPr>
  </w:style>
  <w:style w:type="character" w:customStyle="1" w:styleId="96">
    <w:name w:val="eop"/>
    <w:basedOn w:val="27"/>
    <w:qFormat/>
    <w:uiPriority w:val="0"/>
  </w:style>
  <w:style w:type="paragraph" w:customStyle="1" w:styleId="97">
    <w:name w:val="TAR"/>
    <w:basedOn w:val="39"/>
    <w:qFormat/>
    <w:uiPriority w:val="0"/>
    <w:pPr>
      <w:jc w:val="right"/>
    </w:pPr>
  </w:style>
  <w:style w:type="character" w:customStyle="1" w:styleId="98">
    <w:name w:val="ECC HL green"/>
    <w:basedOn w:val="27"/>
    <w:qFormat/>
    <w:uiPriority w:val="1"/>
    <w:rPr>
      <w:shd w:val="solid" w:color="92D050" w:fill="auto"/>
      <w:lang w:val="en-GB"/>
    </w:rPr>
  </w:style>
  <w:style w:type="character" w:customStyle="1" w:styleId="99">
    <w:name w:val="ECC HL yellow"/>
    <w:basedOn w:val="27"/>
    <w:qFormat/>
    <w:uiPriority w:val="1"/>
    <w:rPr>
      <w:rFonts w:eastAsia="Calibri"/>
      <w:szCs w:val="22"/>
      <w:shd w:val="solid" w:color="FFFF00" w:fill="auto"/>
      <w:lang w:val="en-GB"/>
    </w:rPr>
  </w:style>
  <w:style w:type="character" w:customStyle="1" w:styleId="100">
    <w:name w:val="ECC Paragraph"/>
    <w:basedOn w:val="27"/>
    <w:qFormat/>
    <w:uiPriority w:val="1"/>
    <w:rPr>
      <w:rFonts w:ascii="Arial" w:hAnsi="Arial"/>
      <w:sz w:val="20"/>
      <w:lang w:val="en-GB"/>
    </w:rPr>
  </w:style>
  <w:style w:type="paragraph" w:customStyle="1" w:styleId="101">
    <w:name w:val="ECC Bullets Lv2"/>
    <w:basedOn w:val="102"/>
    <w:qFormat/>
    <w:uiPriority w:val="0"/>
    <w:pPr>
      <w:tabs>
        <w:tab w:val="left" w:pos="340"/>
        <w:tab w:val="left" w:pos="680"/>
      </w:tabs>
      <w:ind w:left="680"/>
    </w:pPr>
  </w:style>
  <w:style w:type="paragraph" w:customStyle="1" w:styleId="102">
    <w:name w:val="ECC Bullets Lv1"/>
    <w:basedOn w:val="1"/>
    <w:qFormat/>
    <w:uiPriority w:val="0"/>
    <w:pPr>
      <w:numPr>
        <w:ilvl w:val="0"/>
        <w:numId w:val="2"/>
      </w:numPr>
      <w:tabs>
        <w:tab w:val="left" w:pos="340"/>
      </w:tabs>
      <w:spacing w:before="60" w:after="0"/>
      <w:ind w:left="340" w:hanging="340"/>
    </w:pPr>
  </w:style>
  <w:style w:type="paragraph" w:customStyle="1" w:styleId="103">
    <w:name w:val="Default"/>
    <w:unhideWhenUsed/>
    <w:qFormat/>
    <w:uiPriority w:val="99"/>
    <w:pPr>
      <w:widowControl w:val="0"/>
      <w:autoSpaceDE w:val="0"/>
      <w:autoSpaceDN w:val="0"/>
      <w:adjustRightInd w:val="0"/>
      <w:spacing w:beforeLines="0" w:afterLines="0"/>
    </w:pPr>
    <w:rPr>
      <w:rFonts w:hint="eastAsia" w:ascii="Times New Roman" w:hAnsi="Times New Roman" w:eastAsia="Times New Roman" w:cs="Times New Roman"/>
      <w:color w:val="00000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Wei Lin</cp:lastModifiedBy>
  <dcterms:modified xsi:type="dcterms:W3CDTF">2023-08-11T06:59:17Z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B35FD19F0BBA4548BF5068C0EB8AA729</vt:lpwstr>
  </property>
</Properties>
</file>